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方正小标宋简体" w:hAnsi="宋体" w:eastAsia="方正小标宋简体"/>
          <w:color w:val="FF0000"/>
          <w:sz w:val="52"/>
          <w:szCs w:val="52"/>
        </w:rPr>
      </w:pPr>
      <w:r>
        <w:rPr>
          <w:rFonts w:hint="eastAsia" w:ascii="方正小标宋简体" w:hAnsi="宋体" w:eastAsia="方正小标宋简体"/>
          <w:color w:val="FF0000"/>
          <w:sz w:val="52"/>
          <w:szCs w:val="52"/>
        </w:rPr>
        <w:t>柳州高新技术产业开发区</w:t>
      </w:r>
    </w:p>
    <w:p>
      <w:pPr>
        <w:snapToGrid w:val="0"/>
        <w:jc w:val="center"/>
        <w:rPr>
          <w:rFonts w:ascii="宋体"/>
          <w:b/>
          <w:color w:val="FF0000"/>
          <w:sz w:val="36"/>
          <w:szCs w:val="36"/>
        </w:rPr>
      </w:pPr>
    </w:p>
    <w:p>
      <w:pPr>
        <w:snapToGrid w:val="0"/>
        <w:jc w:val="center"/>
        <w:rPr>
          <w:rFonts w:ascii="方正小标宋简体" w:hAnsi="宋体" w:eastAsia="方正小标宋简体"/>
          <w:color w:val="FF0000"/>
          <w:spacing w:val="100"/>
          <w:sz w:val="80"/>
          <w:szCs w:val="80"/>
        </w:rPr>
      </w:pPr>
      <w:r>
        <w:rPr>
          <w:rFonts w:hint="eastAsia" w:ascii="方正小标宋简体" w:hAnsi="宋体" w:eastAsia="方正小标宋简体"/>
          <w:color w:val="FF0000"/>
          <w:spacing w:val="100"/>
          <w:sz w:val="80"/>
          <w:szCs w:val="80"/>
        </w:rPr>
        <w:t>管理委员会文件</w:t>
      </w:r>
    </w:p>
    <w:p>
      <w:pPr>
        <w:snapToGrid w:val="0"/>
        <w:jc w:val="center"/>
        <w:rPr>
          <w:rFonts w:ascii="仿宋_GB2312" w:hAnsi="宋体" w:eastAsia="仿宋_GB2312"/>
          <w:b/>
          <w:sz w:val="36"/>
          <w:szCs w:val="36"/>
        </w:rPr>
      </w:pPr>
    </w:p>
    <w:p>
      <w:pPr>
        <w:spacing w:line="300" w:lineRule="auto"/>
        <w:jc w:val="center"/>
        <w:rPr>
          <w:rFonts w:eastAsia="仿宋_GB2312"/>
          <w:sz w:val="32"/>
          <w:szCs w:val="32"/>
        </w:rPr>
      </w:pPr>
      <w:r>
        <w:rPr>
          <w:rFonts w:hint="eastAsia" w:eastAsia="仿宋_GB2312"/>
          <w:sz w:val="32"/>
          <w:szCs w:val="32"/>
        </w:rPr>
        <w:t>柳高新〔</w:t>
      </w:r>
      <w:r>
        <w:rPr>
          <w:rFonts w:hint="eastAsia" w:eastAsia="仿宋_GB2312"/>
          <w:sz w:val="32"/>
          <w:szCs w:val="32"/>
          <w:lang w:val="en-US" w:eastAsia="zh-CN"/>
        </w:rPr>
        <w:t>2022</w:t>
      </w:r>
      <w:r>
        <w:rPr>
          <w:rFonts w:hint="eastAsia" w:eastAsia="仿宋_GB2312"/>
          <w:sz w:val="32"/>
          <w:szCs w:val="32"/>
        </w:rPr>
        <w:t>〕</w:t>
      </w:r>
      <w:r>
        <w:rPr>
          <w:rFonts w:hint="eastAsia" w:eastAsia="仿宋_GB2312"/>
          <w:sz w:val="32"/>
          <w:szCs w:val="32"/>
          <w:lang w:val="en-US" w:eastAsia="zh-CN"/>
        </w:rPr>
        <w:t>2</w:t>
      </w:r>
      <w:r>
        <w:rPr>
          <w:rFonts w:hint="eastAsia" w:eastAsia="仿宋_GB2312"/>
          <w:sz w:val="32"/>
          <w:szCs w:val="32"/>
        </w:rPr>
        <w:t>号</w:t>
      </w:r>
    </w:p>
    <w:p>
      <w:pPr>
        <w:snapToGrid w:val="0"/>
        <w:spacing w:line="300" w:lineRule="auto"/>
        <w:jc w:val="center"/>
        <w:rPr>
          <w:rFonts w:ascii="仿宋_GB2312" w:hAnsi="宋体" w:eastAsia="仿宋_GB2312"/>
          <w:b/>
          <w:sz w:val="32"/>
          <w:szCs w:val="32"/>
        </w:rPr>
      </w:pPr>
      <w:r>
        <mc:AlternateContent>
          <mc:Choice Requires="wps">
            <w:drawing>
              <wp:anchor distT="0" distB="0" distL="114300" distR="114300" simplePos="0" relativeHeight="251659264" behindDoc="0" locked="0" layoutInCell="1" allowOverlap="1">
                <wp:simplePos x="0" y="0"/>
                <wp:positionH relativeFrom="column">
                  <wp:posOffset>-67945</wp:posOffset>
                </wp:positionH>
                <wp:positionV relativeFrom="paragraph">
                  <wp:posOffset>82550</wp:posOffset>
                </wp:positionV>
                <wp:extent cx="5707380" cy="0"/>
                <wp:effectExtent l="0" t="17145" r="7620" b="20955"/>
                <wp:wrapNone/>
                <wp:docPr id="1" name="直线 2"/>
                <wp:cNvGraphicFramePr/>
                <a:graphic xmlns:a="http://schemas.openxmlformats.org/drawingml/2006/main">
                  <a:graphicData uri="http://schemas.microsoft.com/office/word/2010/wordprocessingShape">
                    <wps:wsp>
                      <wps:cNvCnPr/>
                      <wps:spPr>
                        <a:xfrm>
                          <a:off x="0" y="0"/>
                          <a:ext cx="5707380" cy="0"/>
                        </a:xfrm>
                        <a:prstGeom prst="line">
                          <a:avLst/>
                        </a:prstGeom>
                        <a:ln w="34925"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5.35pt;margin-top:6.5pt;height:0pt;width:449.4pt;z-index:251659264;mso-width-relative:page;mso-height-relative:page;" filled="f" stroked="t" coordsize="21600,21600" o:gfxdata="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xaYWfdgAAAAJAQAADwAAAAAAAAABACAAAAAiAAAAZHJzL2Rvd25yZXYueG1sUEsBAhQAFAAAAAgA&#10;h07iQOWCsirsAQAA3AMAAA4AAAAAAAAAAQAgAAAAJwEAAGRycy9lMm9Eb2MueG1sUEsFBgAAAAAG&#10;AAYAWQEAAIUFAAAAAA==&#10;">
                <v:fill on="f" focussize="0,0"/>
                <v:stroke weight="2.75pt" color="#FF0000" joinstyle="round"/>
                <v:imagedata o:title=""/>
                <o:lock v:ext="edit" aspectratio="f"/>
              </v:line>
            </w:pict>
          </mc:Fallback>
        </mc:AlternateContent>
      </w:r>
    </w:p>
    <w:p>
      <w:pPr>
        <w:adjustRightInd w:val="0"/>
        <w:spacing w:line="420" w:lineRule="exact"/>
        <w:jc w:val="center"/>
        <w:rPr>
          <w:rFonts w:ascii="仿宋_GB2312" w:hAnsi="宋体" w:eastAsia="仿宋_GB2312" w:cs="宋体"/>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pacing w:val="0"/>
          <w:sz w:val="44"/>
          <w:szCs w:val="44"/>
        </w:rPr>
      </w:pPr>
      <w:r>
        <w:rPr>
          <w:rFonts w:hint="eastAsia" w:ascii="方正小标宋简体" w:hAnsi="方正小标宋简体" w:eastAsia="方正小标宋简体" w:cs="方正小标宋简体"/>
          <w:spacing w:val="0"/>
          <w:sz w:val="44"/>
          <w:szCs w:val="44"/>
        </w:rPr>
        <w:t>柳州高新技术产业开发区管理委员会关于</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pacing w:val="0"/>
          <w:sz w:val="44"/>
          <w:szCs w:val="44"/>
        </w:rPr>
      </w:pPr>
      <w:r>
        <w:rPr>
          <w:rFonts w:hint="eastAsia" w:ascii="方正小标宋简体" w:hAnsi="方正小标宋简体" w:eastAsia="方正小标宋简体" w:cs="方正小标宋简体"/>
          <w:spacing w:val="0"/>
          <w:sz w:val="44"/>
          <w:szCs w:val="44"/>
        </w:rPr>
        <w:t>印发《柳州高新技术产业开发区国家级</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pacing w:val="0"/>
          <w:sz w:val="44"/>
          <w:szCs w:val="44"/>
        </w:rPr>
      </w:pPr>
      <w:r>
        <w:rPr>
          <w:rFonts w:hint="eastAsia" w:ascii="方正小标宋简体" w:hAnsi="方正小标宋简体" w:eastAsia="方正小标宋简体" w:cs="方正小标宋简体"/>
          <w:spacing w:val="0"/>
          <w:sz w:val="44"/>
          <w:szCs w:val="44"/>
        </w:rPr>
        <w:t>知识产权强国建设试点园区建设工作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pacing w:val="0"/>
          <w:sz w:val="44"/>
          <w:szCs w:val="44"/>
        </w:rPr>
      </w:pPr>
      <w:r>
        <w:rPr>
          <w:rFonts w:hint="eastAsia" w:ascii="方正小标宋简体" w:hAnsi="方正小标宋简体" w:eastAsia="方正小标宋简体" w:cs="方正小标宋简体"/>
          <w:spacing w:val="0"/>
          <w:sz w:val="44"/>
          <w:szCs w:val="44"/>
        </w:rPr>
        <w:t>方案（2022-2025年）》的通知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楷体_GB2312" w:cs="Times New Roman"/>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新区各部门、各分局，各有关单位：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lang w:val="en-US" w:eastAsia="zh-CN"/>
        </w:rPr>
        <w:t>现将《柳州高新技术产业开发区国家级知识产权强国建设试点园区建设工作方案（2022-2025年）》印发给你们，请认真贯彻执行。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 xml:space="preserve">               柳州高新技术产业开发区管理委员会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 xml:space="preserve">                           202</w:t>
      </w:r>
      <w:r>
        <w:rPr>
          <w:rFonts w:hint="eastAsia" w:eastAsia="楷体_GB2312" w:cs="Times New Roman"/>
          <w:sz w:val="32"/>
          <w:szCs w:val="32"/>
          <w:lang w:val="en-US" w:eastAsia="zh-CN"/>
        </w:rPr>
        <w:t>2</w:t>
      </w:r>
      <w:r>
        <w:rPr>
          <w:rFonts w:hint="default" w:ascii="Times New Roman" w:hAnsi="Times New Roman" w:eastAsia="楷体_GB2312" w:cs="Times New Roman"/>
          <w:sz w:val="32"/>
          <w:szCs w:val="32"/>
        </w:rPr>
        <w:t>年</w:t>
      </w:r>
      <w:r>
        <w:rPr>
          <w:rFonts w:hint="eastAsia" w:eastAsia="楷体_GB2312" w:cs="Times New Roman"/>
          <w:sz w:val="32"/>
          <w:szCs w:val="32"/>
          <w:lang w:val="en-US" w:eastAsia="zh-CN"/>
        </w:rPr>
        <w:t>10</w:t>
      </w:r>
      <w:r>
        <w:rPr>
          <w:rFonts w:hint="default" w:ascii="Times New Roman" w:hAnsi="Times New Roman" w:eastAsia="楷体_GB2312" w:cs="Times New Roman"/>
          <w:sz w:val="32"/>
          <w:szCs w:val="32"/>
        </w:rPr>
        <w:t>月</w:t>
      </w:r>
      <w:r>
        <w:rPr>
          <w:rFonts w:hint="eastAsia" w:eastAsia="楷体_GB2312" w:cs="Times New Roman"/>
          <w:sz w:val="32"/>
          <w:szCs w:val="32"/>
          <w:lang w:val="en-US" w:eastAsia="zh-CN"/>
        </w:rPr>
        <w:t>27</w:t>
      </w:r>
      <w:r>
        <w:rPr>
          <w:rFonts w:hint="default" w:ascii="Times New Roman" w:hAnsi="Times New Roman" w:eastAsia="楷体_GB2312"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楷体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柳州</w:t>
      </w:r>
      <w:r>
        <w:rPr>
          <w:rFonts w:hint="eastAsia" w:ascii="方正小标宋简体" w:hAnsi="方正小标宋简体" w:eastAsia="方正小标宋简体" w:cs="方正小标宋简体"/>
          <w:sz w:val="44"/>
          <w:szCs w:val="44"/>
          <w:lang w:val="en-US" w:eastAsia="zh-CN"/>
        </w:rPr>
        <w:t>高新技术产业开发区</w:t>
      </w:r>
      <w:r>
        <w:rPr>
          <w:rFonts w:hint="eastAsia" w:ascii="方正小标宋简体" w:hAnsi="方正小标宋简体" w:eastAsia="方正小标宋简体" w:cs="方正小标宋简体"/>
          <w:color w:val="auto"/>
          <w:sz w:val="44"/>
          <w:szCs w:val="44"/>
          <w:lang w:eastAsia="zh-CN"/>
        </w:rPr>
        <w:t>国家</w:t>
      </w:r>
      <w:r>
        <w:rPr>
          <w:rFonts w:hint="eastAsia" w:ascii="方正小标宋简体" w:hAnsi="方正小标宋简体" w:eastAsia="方正小标宋简体" w:cs="方正小标宋简体"/>
          <w:color w:val="auto"/>
          <w:sz w:val="44"/>
          <w:szCs w:val="44"/>
          <w:lang w:val="en-US" w:eastAsia="zh-CN"/>
        </w:rPr>
        <w:t>级</w:t>
      </w:r>
      <w:r>
        <w:rPr>
          <w:rFonts w:hint="eastAsia" w:ascii="方正小标宋简体" w:hAnsi="方正小标宋简体" w:eastAsia="方正小标宋简体" w:cs="方正小标宋简体"/>
          <w:sz w:val="44"/>
          <w:szCs w:val="44"/>
          <w:lang w:eastAsia="zh-CN"/>
        </w:rPr>
        <w:t>知识产权</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强</w:t>
      </w:r>
      <w:r>
        <w:rPr>
          <w:rFonts w:hint="eastAsia" w:ascii="方正小标宋简体" w:hAnsi="方正小标宋简体" w:eastAsia="方正小标宋简体" w:cs="方正小标宋简体"/>
          <w:sz w:val="44"/>
          <w:szCs w:val="44"/>
          <w:lang w:val="en-US" w:eastAsia="zh-CN"/>
        </w:rPr>
        <w:t>国</w:t>
      </w:r>
      <w:r>
        <w:rPr>
          <w:rFonts w:hint="eastAsia" w:ascii="方正小标宋简体" w:hAnsi="方正小标宋简体" w:eastAsia="方正小标宋简体" w:cs="方正小标宋简体"/>
          <w:sz w:val="44"/>
          <w:szCs w:val="44"/>
          <w:lang w:eastAsia="zh-CN"/>
        </w:rPr>
        <w:t>建设试点</w:t>
      </w:r>
      <w:r>
        <w:rPr>
          <w:rFonts w:hint="eastAsia" w:ascii="方正小标宋简体" w:hAnsi="方正小标宋简体" w:eastAsia="方正小标宋简体" w:cs="方正小标宋简体"/>
          <w:sz w:val="44"/>
          <w:szCs w:val="44"/>
          <w:lang w:val="en-US" w:eastAsia="zh-CN"/>
        </w:rPr>
        <w:t>园区建设</w:t>
      </w:r>
      <w:r>
        <w:rPr>
          <w:rFonts w:hint="eastAsia" w:ascii="方正小标宋简体" w:hAnsi="方正小标宋简体" w:eastAsia="方正小标宋简体" w:cs="方正小标宋简体"/>
          <w:sz w:val="44"/>
          <w:szCs w:val="44"/>
          <w:lang w:eastAsia="zh-CN"/>
        </w:rPr>
        <w:t>工作方案</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（2022-2025年）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为深入贯彻落实习近平总书记关于全面加强知识产权保护工作，激发创新活力推动构建新发展格局的重要讲话精神和党中央、国务院、自治区关于知识产权工作决策部署，开启新阶段全面实施知识产权强市战略、深入推进创新驱动发展战略新征程，扎实有效开展国家知识产权强市建设试点城市创建工作，根据《国家知识产权局办公室关于面向城市、县域、园区开展知识产权强国建设试点示范工作的通知》（国知办函运字〔2021〕1197号）和《国家知识产权局关于确定国家知识产权强县建设试点示范县和国家级知识产权强国建设试点示范园区的通知》（国知发运函字〔2022〕131号）要求，结合柳州高新区高质量发展实际，制定本方案。</w:t>
      </w:r>
    </w:p>
    <w:p>
      <w:pPr>
        <w:pStyle w:val="4"/>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一、指导思想</w:t>
      </w:r>
    </w:p>
    <w:p>
      <w:pPr>
        <w:pStyle w:val="4"/>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以习近平新时代中国特色社会主义思想为指导，全面贯彻党的二十大精神，认真落实党中央、国务院和自治区关于知识产权强国建设和</w:t>
      </w:r>
      <w:r>
        <w:rPr>
          <w:rFonts w:hint="eastAsia" w:ascii="Times New Roman" w:hAnsi="Times New Roman" w:eastAsia="仿宋_GB2312" w:cs="Times New Roman"/>
          <w:b w:val="0"/>
          <w:bCs w:val="0"/>
          <w:sz w:val="32"/>
          <w:szCs w:val="32"/>
          <w:lang w:val="en-US" w:eastAsia="zh-CN"/>
        </w:rPr>
        <w:t>“十四五”</w:t>
      </w:r>
      <w:r>
        <w:rPr>
          <w:rFonts w:hint="default" w:ascii="Times New Roman" w:hAnsi="Times New Roman" w:eastAsia="仿宋_GB2312" w:cs="Times New Roman"/>
          <w:b w:val="0"/>
          <w:bCs w:val="0"/>
          <w:sz w:val="32"/>
          <w:szCs w:val="32"/>
          <w:lang w:val="en-US" w:eastAsia="zh-CN"/>
        </w:rPr>
        <w:t>战略规划的决策部署，牢固树立“创新是引领发展的第一动力，保护知识产权就是保护创新”和“只有创新才能自强，才能争先”的理念，坚持“激励创造、有效运用、依法保护、科学管理”方针，以国家级知识产权强国建设试点园区创建为载体，进一步打通知识产权创造、运用、保护、管理、服务全链条，不断提升高新区知识产权治理能力和治理水平，充分发挥知识产权在激发创新活力、优化营商环境、构建新发展格局、推动高质量发展中的源动力作用，为园区建设创新驱动发展示范区和高质量发展先行区提供战略支撑和基础保障，推动园区工业高质量发展，全力建设现代制造城核心区、打造高质量产城融合新城区。</w:t>
      </w:r>
    </w:p>
    <w:p>
      <w:pPr>
        <w:pStyle w:val="4"/>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黑体" w:hAnsi="黑体" w:eastAsia="黑体" w:cs="黑体"/>
          <w:b w:val="0"/>
          <w:bCs w:val="0"/>
          <w:sz w:val="32"/>
          <w:szCs w:val="32"/>
          <w:lang w:val="en-US" w:eastAsia="zh-CN"/>
        </w:rPr>
      </w:pPr>
      <w:r>
        <w:rPr>
          <w:rFonts w:hint="default" w:ascii="黑体" w:hAnsi="黑体" w:eastAsia="黑体" w:cs="黑体"/>
          <w:b w:val="0"/>
          <w:bCs w:val="0"/>
          <w:sz w:val="32"/>
          <w:szCs w:val="32"/>
          <w:lang w:val="en-US" w:eastAsia="zh-CN"/>
        </w:rPr>
        <w:t>二、工作目标</w:t>
      </w:r>
    </w:p>
    <w:p>
      <w:pPr>
        <w:pStyle w:val="4"/>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楷体_GB2312" w:hAnsi="楷体_GB2312" w:eastAsia="楷体_GB2312" w:cs="楷体_GB2312"/>
          <w:b w:val="0"/>
          <w:bCs w:val="0"/>
          <w:sz w:val="32"/>
          <w:szCs w:val="32"/>
          <w:lang w:val="en-US" w:eastAsia="zh-CN"/>
        </w:rPr>
      </w:pPr>
      <w:r>
        <w:rPr>
          <w:rFonts w:hint="default" w:ascii="楷体_GB2312" w:hAnsi="楷体_GB2312" w:eastAsia="楷体_GB2312" w:cs="楷体_GB2312"/>
          <w:b w:val="0"/>
          <w:bCs w:val="0"/>
          <w:sz w:val="32"/>
          <w:szCs w:val="32"/>
          <w:lang w:val="en-US" w:eastAsia="zh-CN"/>
        </w:rPr>
        <w:t>（一）总体目标</w:t>
      </w:r>
    </w:p>
    <w:p>
      <w:pPr>
        <w:pStyle w:val="4"/>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按照国家知识产权局关于国家级知识产权强国建设试点示范园区的建设要求，力争2025年6月前完成高新区试点园区建设工作，申请获批“国家级知识产权强国建设示范园区”称号。在试点建设阶段，柳州高新区重视知识产权工作程度进一步提高，城市知识产权管理能力和工作保障条件持续提升，知识产权行政执法和维权援助工作成效显著提高，专利质量提升工作取得明显效益，知识产权运营体系建设取得重大成果，形成“以创新引领优势特色产业高质量发展，驱动工业强区”的良好局面。</w:t>
      </w:r>
    </w:p>
    <w:p>
      <w:pPr>
        <w:pStyle w:val="4"/>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楷体_GB2312" w:hAnsi="楷体_GB2312" w:eastAsia="楷体_GB2312" w:cs="楷体_GB2312"/>
          <w:b w:val="0"/>
          <w:bCs w:val="0"/>
          <w:sz w:val="32"/>
          <w:szCs w:val="32"/>
          <w:lang w:val="en-US" w:eastAsia="zh-CN"/>
        </w:rPr>
      </w:pPr>
      <w:r>
        <w:rPr>
          <w:rFonts w:hint="default" w:ascii="楷体_GB2312" w:hAnsi="楷体_GB2312" w:eastAsia="楷体_GB2312" w:cs="楷体_GB2312"/>
          <w:b w:val="0"/>
          <w:bCs w:val="0"/>
          <w:sz w:val="32"/>
          <w:szCs w:val="32"/>
          <w:lang w:val="en-US" w:eastAsia="zh-CN"/>
        </w:rPr>
        <w:t>（二）具体目标</w:t>
      </w:r>
    </w:p>
    <w:p>
      <w:pPr>
        <w:pStyle w:val="4"/>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1.</w:t>
      </w:r>
      <w:r>
        <w:rPr>
          <w:rFonts w:hint="eastAsia"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知识产权行政管理体制机制和能力建设。柳州高新区管委会将不断提高对知识产权工作的重视程度，建立健全知识产权统筹协调机制，优化完善执行国家和地方知识产权法规规章制度体系；深化管委会知识产权工作体制机制改革，不断提升行政管理和执法能力；把知识产权工作纳入管委会重点工作，定期开展专题学习，研究部署重大问题和相关工作；财政资金投入知识产权工作的数量和结构比重逐年增加。</w:t>
      </w:r>
    </w:p>
    <w:p>
      <w:pPr>
        <w:pStyle w:val="4"/>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2.</w:t>
      </w:r>
      <w:r>
        <w:rPr>
          <w:rFonts w:hint="eastAsia"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知识产权文化和人才建设。大力提升以“尊重知识、崇尚创新、诚信守法”为核心的知识产权文化建设，扩大知识产权宣传工作覆盖面和影响力；完善知识产权工作政府宣传媒介和载体，提高主流媒体宣传园区知识产权工作数量和质量；结合柳州高新区党工委、管委会中心工作，提高各类知识产权宣传活动效能；知识产权宣传工作财政投入逐年增加。进一步完善知识产权人才引进、培养、使用政策措施，推动知识产权从业人员数量、结构向规模化、专业化、高层次转变；面向党政机关、企事业单位、高等院校、科研院所、中小学和知识产权服务机构，精准开展知识产权教育培训；知识产权人才队伍建设工作经费逐年增加。</w:t>
      </w:r>
    </w:p>
    <w:p>
      <w:pPr>
        <w:pStyle w:val="4"/>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3.</w:t>
      </w:r>
      <w:r>
        <w:rPr>
          <w:rFonts w:hint="eastAsia"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企业知识产权意识和能力建设。以知识产权运营体系建设为核心，全面加强企业知识产权创造、运用、保护、管理和服务全链条能力提升；进一步深化国家知识产权强国建设试点、示范区创建工作，加大国家级和自治区级知识产权优势、示范企业培育力度，完善辖区内企业知识产权管理规范国家标准和知识产权托管服务等政策措施，持续加大企业知识产权能力建设财政经费投入，培育一批知识产权标杆企业。实施商业秘密保护工程，推动企业建设创建商业秘密保护工作站</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点</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，逐步完善园区企业商业秘密保护工作创建模式、工作要求、工作机制，建成建强“政府主导、市场牵头、部门协作、企业负责”的商业秘密保护体系。</w:t>
      </w:r>
    </w:p>
    <w:p>
      <w:pPr>
        <w:pStyle w:val="4"/>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4.</w:t>
      </w:r>
      <w:r>
        <w:rPr>
          <w:rFonts w:hint="eastAsia"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执法维权工作。严格规范知识产权市场秩序，深入开展专利、商标等知识产权专项行政执法工作，查办一批知识产权假冒侵权大案要案；持续完善知识产权维权援助体系，加强政策措施创新和人才队伍建设，提升维权援助服务数量和成效；畅通知识产权举报投诉渠道，强化知识产权举报投诉响应、处理、办结效能；结合柳州市知识产权强市战略实施和国家级知识产权强国建设试点园区建设工作，在广西国家级高新区中率先开展知识产权保护监管试点工作；加大经费投入，为维权援助和举报投诉工作提供可靠的经费保障。</w:t>
      </w:r>
    </w:p>
    <w:p>
      <w:pPr>
        <w:pStyle w:val="4"/>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5.</w:t>
      </w:r>
      <w:r>
        <w:rPr>
          <w:rFonts w:hint="eastAsia"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特色主题工作。在柳州772数字文化创意产业园建设集市知识产权公共服务平台柳东分支机构等一体的一站式知识产权服务窗口。持续推进“专利导航特色产业转型升级”试点建设特色主题工作，完善园区特色产业“专利导航”工作机制，强化资金保障，深入实施“专利导航”项目，深化数据挖掘、优化创新路径、强化海外布局，为加快园区现代创新体系和现代产业体系构建，提供战略支撑和技术保障。</w:t>
      </w:r>
    </w:p>
    <w:p>
      <w:pPr>
        <w:pStyle w:val="4"/>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（三）量化指标</w:t>
      </w:r>
    </w:p>
    <w:tbl>
      <w:tblPr>
        <w:tblStyle w:val="7"/>
        <w:tblW w:w="9510" w:type="dxa"/>
        <w:tblInd w:w="-2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5"/>
        <w:gridCol w:w="3796"/>
        <w:gridCol w:w="1020"/>
        <w:gridCol w:w="1094"/>
        <w:gridCol w:w="2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blHeader/>
        </w:trPr>
        <w:tc>
          <w:tcPr>
            <w:tcW w:w="103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sz w:val="24"/>
                <w:szCs w:val="24"/>
                <w:vertAlign w:val="baseline"/>
                <w:lang w:eastAsia="zh-CN"/>
              </w:rPr>
            </w:pPr>
            <w:r>
              <w:rPr>
                <w:rFonts w:hint="eastAsia" w:ascii="黑体" w:hAnsi="黑体" w:eastAsia="黑体" w:cs="黑体"/>
                <w:b w:val="0"/>
                <w:bCs w:val="0"/>
                <w:sz w:val="24"/>
                <w:szCs w:val="24"/>
                <w:vertAlign w:val="baseline"/>
                <w:lang w:eastAsia="zh-CN"/>
              </w:rPr>
              <w:t>主要任务序号</w:t>
            </w:r>
          </w:p>
        </w:tc>
        <w:tc>
          <w:tcPr>
            <w:tcW w:w="37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sz w:val="24"/>
                <w:szCs w:val="24"/>
                <w:vertAlign w:val="baseline"/>
                <w:lang w:eastAsia="zh-CN"/>
              </w:rPr>
            </w:pPr>
            <w:r>
              <w:rPr>
                <w:rFonts w:hint="eastAsia" w:ascii="黑体" w:hAnsi="黑体" w:eastAsia="黑体" w:cs="黑体"/>
                <w:b w:val="0"/>
                <w:bCs w:val="0"/>
                <w:sz w:val="24"/>
                <w:szCs w:val="24"/>
                <w:vertAlign w:val="baseline"/>
                <w:lang w:eastAsia="zh-CN"/>
              </w:rPr>
              <w:t>指标内容</w:t>
            </w:r>
          </w:p>
        </w:tc>
        <w:tc>
          <w:tcPr>
            <w:tcW w:w="10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sz w:val="24"/>
                <w:szCs w:val="24"/>
                <w:vertAlign w:val="baseline"/>
                <w:lang w:eastAsia="zh-CN"/>
              </w:rPr>
            </w:pPr>
            <w:r>
              <w:rPr>
                <w:rFonts w:hint="eastAsia" w:ascii="黑体" w:hAnsi="黑体" w:eastAsia="黑体" w:cs="黑体"/>
                <w:b w:val="0"/>
                <w:bCs w:val="0"/>
                <w:sz w:val="24"/>
                <w:szCs w:val="24"/>
                <w:vertAlign w:val="baseline"/>
                <w:lang w:val="en-US" w:eastAsia="zh-CN"/>
              </w:rPr>
              <w:t>2021年</w:t>
            </w:r>
            <w:r>
              <w:rPr>
                <w:rFonts w:hint="eastAsia" w:ascii="黑体" w:hAnsi="黑体" w:eastAsia="黑体" w:cs="黑体"/>
                <w:b w:val="0"/>
                <w:bCs w:val="0"/>
                <w:sz w:val="24"/>
                <w:szCs w:val="24"/>
                <w:vertAlign w:val="baseline"/>
                <w:lang w:eastAsia="zh-CN"/>
              </w:rPr>
              <w:t>基础值</w:t>
            </w:r>
          </w:p>
        </w:tc>
        <w:tc>
          <w:tcPr>
            <w:tcW w:w="109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2025年目标值</w:t>
            </w:r>
          </w:p>
        </w:tc>
        <w:tc>
          <w:tcPr>
            <w:tcW w:w="25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sz w:val="24"/>
                <w:szCs w:val="24"/>
                <w:vertAlign w:val="baseline"/>
                <w:lang w:eastAsia="zh-CN"/>
              </w:rPr>
            </w:pPr>
            <w:r>
              <w:rPr>
                <w:rFonts w:hint="eastAsia" w:ascii="黑体" w:hAnsi="黑体" w:eastAsia="黑体" w:cs="黑体"/>
                <w:b w:val="0"/>
                <w:bCs w:val="0"/>
                <w:sz w:val="24"/>
                <w:szCs w:val="24"/>
                <w:vertAlign w:val="baseline"/>
                <w:lang w:eastAsia="zh-CN"/>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03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1</w:t>
            </w:r>
          </w:p>
        </w:tc>
        <w:tc>
          <w:tcPr>
            <w:tcW w:w="37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eastAsia="zh-CN"/>
              </w:rPr>
            </w:pPr>
            <w:r>
              <w:rPr>
                <w:rFonts w:hint="default" w:ascii="Times New Roman" w:hAnsi="Times New Roman" w:eastAsia="仿宋_GB2312" w:cs="Times New Roman"/>
                <w:b w:val="0"/>
                <w:bCs w:val="0"/>
                <w:sz w:val="24"/>
                <w:szCs w:val="24"/>
                <w:vertAlign w:val="baseline"/>
                <w:lang w:eastAsia="zh-CN"/>
              </w:rPr>
              <w:t>查处假冒知识产权行政案件（起）</w:t>
            </w:r>
          </w:p>
        </w:tc>
        <w:tc>
          <w:tcPr>
            <w:tcW w:w="10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3</w:t>
            </w:r>
          </w:p>
        </w:tc>
        <w:tc>
          <w:tcPr>
            <w:tcW w:w="109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6</w:t>
            </w:r>
          </w:p>
        </w:tc>
        <w:tc>
          <w:tcPr>
            <w:tcW w:w="25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1"/>
                <w:szCs w:val="21"/>
                <w:vertAlign w:val="baseline"/>
                <w:lang w:val="en-US" w:eastAsia="zh-CN"/>
              </w:rPr>
              <w:t>柳州市市场监督管理局柳东新区分局、社会事务局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103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rPr>
            </w:pPr>
          </w:p>
        </w:tc>
        <w:tc>
          <w:tcPr>
            <w:tcW w:w="37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eastAsia="zh-CN"/>
              </w:rPr>
            </w:pPr>
            <w:r>
              <w:rPr>
                <w:rFonts w:hint="default" w:ascii="Times New Roman" w:hAnsi="Times New Roman" w:eastAsia="仿宋_GB2312" w:cs="Times New Roman"/>
                <w:b w:val="0"/>
                <w:bCs w:val="0"/>
                <w:sz w:val="24"/>
                <w:szCs w:val="24"/>
                <w:vertAlign w:val="baseline"/>
                <w:lang w:eastAsia="zh-CN"/>
              </w:rPr>
              <w:t>非正常专利申请主动撤回率（</w:t>
            </w:r>
            <w:r>
              <w:rPr>
                <w:rFonts w:hint="default" w:ascii="Times New Roman" w:hAnsi="Times New Roman" w:eastAsia="仿宋_GB2312" w:cs="Times New Roman"/>
                <w:b w:val="0"/>
                <w:bCs w:val="0"/>
                <w:sz w:val="24"/>
                <w:szCs w:val="24"/>
                <w:vertAlign w:val="baseline"/>
                <w:lang w:val="en-US" w:eastAsia="zh-CN"/>
              </w:rPr>
              <w:t>%</w:t>
            </w:r>
            <w:r>
              <w:rPr>
                <w:rFonts w:hint="default" w:ascii="Times New Roman" w:hAnsi="Times New Roman" w:eastAsia="仿宋_GB2312" w:cs="Times New Roman"/>
                <w:b w:val="0"/>
                <w:bCs w:val="0"/>
                <w:sz w:val="24"/>
                <w:szCs w:val="24"/>
                <w:vertAlign w:val="baseline"/>
                <w:lang w:eastAsia="zh-CN"/>
              </w:rPr>
              <w:t>）</w:t>
            </w:r>
          </w:p>
        </w:tc>
        <w:tc>
          <w:tcPr>
            <w:tcW w:w="10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95.26%</w:t>
            </w:r>
          </w:p>
        </w:tc>
        <w:tc>
          <w:tcPr>
            <w:tcW w:w="109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96%</w:t>
            </w:r>
          </w:p>
        </w:tc>
        <w:tc>
          <w:tcPr>
            <w:tcW w:w="25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1"/>
                <w:szCs w:val="21"/>
                <w:vertAlign w:val="baseline"/>
                <w:lang w:val="en-US" w:eastAsia="zh-CN"/>
              </w:rPr>
              <w:t>柳州市市场监督管理局柳东新区分局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trPr>
        <w:tc>
          <w:tcPr>
            <w:tcW w:w="103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2</w:t>
            </w:r>
          </w:p>
        </w:tc>
        <w:tc>
          <w:tcPr>
            <w:tcW w:w="37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color w:val="auto"/>
                <w:sz w:val="24"/>
                <w:szCs w:val="24"/>
                <w:vertAlign w:val="baseline"/>
                <w:lang w:eastAsia="zh-CN"/>
              </w:rPr>
            </w:pPr>
            <w:r>
              <w:rPr>
                <w:rFonts w:hint="default" w:ascii="Times New Roman" w:hAnsi="Times New Roman" w:eastAsia="仿宋_GB2312" w:cs="Times New Roman"/>
                <w:b w:val="0"/>
                <w:bCs w:val="0"/>
                <w:color w:val="auto"/>
                <w:sz w:val="24"/>
                <w:szCs w:val="24"/>
                <w:vertAlign w:val="baseline"/>
                <w:lang w:eastAsia="zh-CN"/>
              </w:rPr>
              <w:t>知识产权纠纷诉前调解（件）</w:t>
            </w:r>
          </w:p>
        </w:tc>
        <w:tc>
          <w:tcPr>
            <w:tcW w:w="10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color w:val="auto"/>
                <w:sz w:val="24"/>
                <w:szCs w:val="24"/>
                <w:vertAlign w:val="baseline"/>
                <w:lang w:val="en-US" w:eastAsia="zh-CN"/>
              </w:rPr>
            </w:pPr>
            <w:r>
              <w:rPr>
                <w:rFonts w:hint="default" w:ascii="Times New Roman" w:hAnsi="Times New Roman" w:eastAsia="仿宋_GB2312" w:cs="Times New Roman"/>
                <w:b w:val="0"/>
                <w:bCs w:val="0"/>
                <w:sz w:val="24"/>
                <w:szCs w:val="24"/>
                <w:vertAlign w:val="baseline"/>
                <w:lang w:eastAsia="zh-CN"/>
              </w:rPr>
              <w:t>—</w:t>
            </w:r>
          </w:p>
        </w:tc>
        <w:tc>
          <w:tcPr>
            <w:tcW w:w="109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color w:val="auto"/>
                <w:sz w:val="24"/>
                <w:szCs w:val="24"/>
                <w:vertAlign w:val="baseline"/>
                <w:lang w:val="en-US" w:eastAsia="zh-CN"/>
              </w:rPr>
            </w:pPr>
            <w:r>
              <w:rPr>
                <w:rFonts w:hint="default" w:ascii="Times New Roman" w:hAnsi="Times New Roman" w:eastAsia="仿宋_GB2312" w:cs="Times New Roman"/>
                <w:b w:val="0"/>
                <w:bCs w:val="0"/>
                <w:color w:val="auto"/>
                <w:sz w:val="24"/>
                <w:szCs w:val="24"/>
                <w:vertAlign w:val="baseline"/>
                <w:lang w:val="en-US" w:eastAsia="zh-CN"/>
              </w:rPr>
              <w:t>/</w:t>
            </w:r>
          </w:p>
        </w:tc>
        <w:tc>
          <w:tcPr>
            <w:tcW w:w="25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color w:val="auto"/>
                <w:sz w:val="24"/>
                <w:szCs w:val="24"/>
                <w:vertAlign w:val="baseline"/>
                <w:lang w:val="en-US" w:eastAsia="zh-CN"/>
              </w:rPr>
            </w:pPr>
            <w:r>
              <w:rPr>
                <w:rFonts w:hint="default" w:ascii="Times New Roman" w:hAnsi="Times New Roman" w:eastAsia="仿宋_GB2312" w:cs="Times New Roman"/>
                <w:b w:val="0"/>
                <w:bCs w:val="0"/>
                <w:color w:val="auto"/>
                <w:sz w:val="21"/>
                <w:szCs w:val="21"/>
                <w:vertAlign w:val="baseline"/>
                <w:lang w:val="en-US" w:eastAsia="zh-CN"/>
              </w:rPr>
              <w:t>柳州市市场监督管理局柳东新区分局、社会综合治理办公室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103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3</w:t>
            </w:r>
          </w:p>
        </w:tc>
        <w:tc>
          <w:tcPr>
            <w:tcW w:w="37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color w:val="auto"/>
                <w:sz w:val="24"/>
                <w:szCs w:val="24"/>
                <w:vertAlign w:val="baseline"/>
                <w:lang w:eastAsia="zh-CN"/>
              </w:rPr>
            </w:pPr>
            <w:r>
              <w:rPr>
                <w:rFonts w:hint="default" w:ascii="Times New Roman" w:hAnsi="Times New Roman" w:eastAsia="仿宋_GB2312" w:cs="Times New Roman"/>
                <w:b w:val="0"/>
                <w:bCs w:val="0"/>
                <w:color w:val="auto"/>
                <w:sz w:val="24"/>
                <w:szCs w:val="24"/>
                <w:vertAlign w:val="baseline"/>
                <w:lang w:eastAsia="zh-CN"/>
              </w:rPr>
              <w:t>行政裁决知识产权侵权纠纷案件（起）</w:t>
            </w:r>
          </w:p>
        </w:tc>
        <w:tc>
          <w:tcPr>
            <w:tcW w:w="10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color w:val="auto"/>
                <w:sz w:val="24"/>
                <w:szCs w:val="24"/>
                <w:vertAlign w:val="baseline"/>
                <w:lang w:val="en-US" w:eastAsia="zh-CN"/>
              </w:rPr>
            </w:pPr>
            <w:r>
              <w:rPr>
                <w:rFonts w:hint="default" w:ascii="Times New Roman" w:hAnsi="Times New Roman" w:eastAsia="仿宋_GB2312" w:cs="Times New Roman"/>
                <w:b w:val="0"/>
                <w:bCs w:val="0"/>
                <w:sz w:val="24"/>
                <w:szCs w:val="24"/>
                <w:vertAlign w:val="baseline"/>
                <w:lang w:eastAsia="zh-CN"/>
              </w:rPr>
              <w:t>—</w:t>
            </w:r>
          </w:p>
        </w:tc>
        <w:tc>
          <w:tcPr>
            <w:tcW w:w="109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color w:val="auto"/>
                <w:sz w:val="24"/>
                <w:szCs w:val="24"/>
                <w:vertAlign w:val="baseline"/>
                <w:lang w:val="en-US" w:eastAsia="zh-CN"/>
              </w:rPr>
            </w:pPr>
            <w:r>
              <w:rPr>
                <w:rFonts w:hint="default" w:ascii="Times New Roman" w:hAnsi="Times New Roman" w:eastAsia="仿宋_GB2312" w:cs="Times New Roman"/>
                <w:b w:val="0"/>
                <w:bCs w:val="0"/>
                <w:color w:val="auto"/>
                <w:sz w:val="24"/>
                <w:szCs w:val="24"/>
                <w:vertAlign w:val="baseline"/>
                <w:lang w:val="en-US" w:eastAsia="zh-CN"/>
              </w:rPr>
              <w:t>/</w:t>
            </w:r>
          </w:p>
        </w:tc>
        <w:tc>
          <w:tcPr>
            <w:tcW w:w="25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color w:val="FF0000"/>
                <w:sz w:val="24"/>
                <w:szCs w:val="24"/>
                <w:vertAlign w:val="baseline"/>
                <w:lang w:val="en-US" w:eastAsia="zh-CN"/>
              </w:rPr>
            </w:pPr>
            <w:r>
              <w:rPr>
                <w:rFonts w:hint="default" w:ascii="Times New Roman" w:hAnsi="Times New Roman" w:eastAsia="仿宋_GB2312" w:cs="Times New Roman"/>
                <w:b w:val="0"/>
                <w:bCs w:val="0"/>
                <w:color w:val="auto"/>
                <w:sz w:val="21"/>
                <w:szCs w:val="21"/>
                <w:vertAlign w:val="baseline"/>
                <w:lang w:val="en-US" w:eastAsia="zh-CN"/>
              </w:rPr>
              <w:t>柳州市市场监督管理局柳东新区分局、党群工作部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p>
        </w:tc>
        <w:tc>
          <w:tcPr>
            <w:tcW w:w="37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eastAsia="zh-CN"/>
              </w:rPr>
            </w:pPr>
            <w:r>
              <w:rPr>
                <w:rFonts w:hint="default" w:ascii="Times New Roman" w:hAnsi="Times New Roman" w:eastAsia="仿宋_GB2312" w:cs="Times New Roman"/>
                <w:b w:val="0"/>
                <w:bCs w:val="0"/>
                <w:sz w:val="24"/>
                <w:szCs w:val="24"/>
                <w:vertAlign w:val="baseline"/>
                <w:lang w:eastAsia="zh-CN"/>
              </w:rPr>
              <w:t>压缩</w:t>
            </w:r>
            <w:r>
              <w:rPr>
                <w:rFonts w:hint="default" w:ascii="Times New Roman" w:hAnsi="Times New Roman" w:eastAsia="仿宋_GB2312" w:cs="Times New Roman"/>
                <w:b w:val="0"/>
                <w:bCs w:val="0"/>
                <w:sz w:val="24"/>
                <w:szCs w:val="24"/>
                <w:vertAlign w:val="baseline"/>
                <w:lang w:val="en-US" w:eastAsia="zh-CN"/>
              </w:rPr>
              <w:t>知识产权</w:t>
            </w:r>
            <w:r>
              <w:rPr>
                <w:rFonts w:hint="default" w:ascii="Times New Roman" w:hAnsi="Times New Roman" w:eastAsia="仿宋_GB2312" w:cs="Times New Roman"/>
                <w:b w:val="0"/>
                <w:bCs w:val="0"/>
                <w:sz w:val="24"/>
                <w:szCs w:val="24"/>
                <w:vertAlign w:val="baseline"/>
                <w:lang w:eastAsia="zh-CN"/>
              </w:rPr>
              <w:t>行政案件办理法定时限（</w:t>
            </w:r>
            <w:r>
              <w:rPr>
                <w:rFonts w:hint="default" w:ascii="Times New Roman" w:hAnsi="Times New Roman" w:eastAsia="仿宋_GB2312" w:cs="Times New Roman"/>
                <w:b w:val="0"/>
                <w:bCs w:val="0"/>
                <w:sz w:val="24"/>
                <w:szCs w:val="24"/>
                <w:vertAlign w:val="baseline"/>
                <w:lang w:val="en-US" w:eastAsia="zh-CN"/>
              </w:rPr>
              <w:t>%</w:t>
            </w:r>
            <w:r>
              <w:rPr>
                <w:rFonts w:hint="default" w:ascii="Times New Roman" w:hAnsi="Times New Roman" w:eastAsia="仿宋_GB2312" w:cs="Times New Roman"/>
                <w:b w:val="0"/>
                <w:bCs w:val="0"/>
                <w:sz w:val="24"/>
                <w:szCs w:val="24"/>
                <w:vertAlign w:val="baseline"/>
                <w:lang w:eastAsia="zh-CN"/>
              </w:rPr>
              <w:t>）</w:t>
            </w:r>
          </w:p>
        </w:tc>
        <w:tc>
          <w:tcPr>
            <w:tcW w:w="10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w:t>
            </w:r>
          </w:p>
        </w:tc>
        <w:tc>
          <w:tcPr>
            <w:tcW w:w="109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10</w:t>
            </w:r>
          </w:p>
        </w:tc>
        <w:tc>
          <w:tcPr>
            <w:tcW w:w="25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rPr>
            </w:pPr>
            <w:r>
              <w:rPr>
                <w:rFonts w:hint="default" w:ascii="Times New Roman" w:hAnsi="Times New Roman" w:eastAsia="仿宋_GB2312" w:cs="Times New Roman"/>
                <w:b w:val="0"/>
                <w:bCs w:val="0"/>
                <w:color w:val="auto"/>
                <w:sz w:val="21"/>
                <w:szCs w:val="21"/>
                <w:vertAlign w:val="baseline"/>
                <w:lang w:val="en-US" w:eastAsia="zh-CN"/>
              </w:rPr>
              <w:t>柳州市市场监督管理局柳东新区分局</w:t>
            </w:r>
            <w:r>
              <w:rPr>
                <w:rFonts w:hint="default" w:ascii="Times New Roman" w:hAnsi="Times New Roman" w:eastAsia="仿宋_GB2312" w:cs="Times New Roman"/>
                <w:b w:val="0"/>
                <w:bCs w:val="0"/>
                <w:sz w:val="21"/>
                <w:szCs w:val="21"/>
                <w:vertAlign w:val="baseline"/>
                <w:lang w:val="en-US" w:eastAsia="zh-CN"/>
              </w:rPr>
              <w:t>、社会事务局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4</w:t>
            </w:r>
          </w:p>
        </w:tc>
        <w:tc>
          <w:tcPr>
            <w:tcW w:w="37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color w:val="auto"/>
                <w:sz w:val="24"/>
                <w:szCs w:val="24"/>
                <w:vertAlign w:val="baseline"/>
                <w:lang w:eastAsia="zh-CN"/>
              </w:rPr>
            </w:pPr>
            <w:r>
              <w:rPr>
                <w:rFonts w:hint="default" w:ascii="Times New Roman" w:hAnsi="Times New Roman" w:eastAsia="仿宋_GB2312" w:cs="Times New Roman"/>
                <w:b w:val="0"/>
                <w:bCs w:val="0"/>
                <w:color w:val="auto"/>
                <w:sz w:val="24"/>
                <w:szCs w:val="24"/>
                <w:vertAlign w:val="baseline"/>
                <w:lang w:eastAsia="zh-CN"/>
              </w:rPr>
              <w:t>涉外知识产权维权纠纷服务（件次）</w:t>
            </w:r>
          </w:p>
        </w:tc>
        <w:tc>
          <w:tcPr>
            <w:tcW w:w="10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color w:val="auto"/>
                <w:sz w:val="24"/>
                <w:szCs w:val="24"/>
                <w:vertAlign w:val="baseline"/>
                <w:lang w:val="en-US" w:eastAsia="zh-CN"/>
              </w:rPr>
            </w:pPr>
            <w:r>
              <w:rPr>
                <w:rFonts w:hint="default" w:ascii="Times New Roman" w:hAnsi="Times New Roman" w:eastAsia="仿宋_GB2312" w:cs="Times New Roman"/>
                <w:b w:val="0"/>
                <w:bCs w:val="0"/>
                <w:sz w:val="24"/>
                <w:szCs w:val="24"/>
                <w:vertAlign w:val="baseline"/>
                <w:lang w:eastAsia="zh-CN"/>
              </w:rPr>
              <w:t>—</w:t>
            </w:r>
          </w:p>
        </w:tc>
        <w:tc>
          <w:tcPr>
            <w:tcW w:w="109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color w:val="auto"/>
                <w:sz w:val="24"/>
                <w:szCs w:val="24"/>
                <w:vertAlign w:val="baseline"/>
                <w:lang w:val="en-US" w:eastAsia="zh-CN"/>
              </w:rPr>
            </w:pPr>
            <w:r>
              <w:rPr>
                <w:rFonts w:hint="default" w:ascii="Times New Roman" w:hAnsi="Times New Roman" w:eastAsia="仿宋_GB2312" w:cs="Times New Roman"/>
                <w:b w:val="0"/>
                <w:bCs w:val="0"/>
                <w:color w:val="auto"/>
                <w:sz w:val="24"/>
                <w:szCs w:val="24"/>
                <w:vertAlign w:val="baseline"/>
                <w:lang w:val="en-US" w:eastAsia="zh-CN"/>
              </w:rPr>
              <w:t>/</w:t>
            </w:r>
          </w:p>
        </w:tc>
        <w:tc>
          <w:tcPr>
            <w:tcW w:w="25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color w:val="FF0000"/>
                <w:sz w:val="24"/>
                <w:szCs w:val="24"/>
                <w:vertAlign w:val="baseline"/>
                <w:lang w:val="en-US" w:eastAsia="zh-CN"/>
              </w:rPr>
            </w:pPr>
            <w:r>
              <w:rPr>
                <w:rFonts w:hint="default" w:ascii="Times New Roman" w:hAnsi="Times New Roman" w:eastAsia="仿宋_GB2312" w:cs="Times New Roman"/>
                <w:b w:val="0"/>
                <w:bCs w:val="0"/>
                <w:color w:val="auto"/>
                <w:sz w:val="21"/>
                <w:szCs w:val="21"/>
                <w:vertAlign w:val="baseline"/>
                <w:lang w:val="en-US" w:eastAsia="zh-CN"/>
              </w:rPr>
              <w:t>柳州市市场监督管理局柳东新区分局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5</w:t>
            </w:r>
          </w:p>
        </w:tc>
        <w:tc>
          <w:tcPr>
            <w:tcW w:w="37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知识产权托管企业（家）</w:t>
            </w:r>
          </w:p>
        </w:tc>
        <w:tc>
          <w:tcPr>
            <w:tcW w:w="10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2</w:t>
            </w:r>
          </w:p>
        </w:tc>
        <w:tc>
          <w:tcPr>
            <w:tcW w:w="109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10</w:t>
            </w:r>
          </w:p>
        </w:tc>
        <w:tc>
          <w:tcPr>
            <w:tcW w:w="25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1"/>
                <w:szCs w:val="21"/>
                <w:vertAlign w:val="baseline"/>
                <w:lang w:val="en-US" w:eastAsia="zh-CN"/>
              </w:rPr>
            </w:pPr>
            <w:r>
              <w:rPr>
                <w:rFonts w:hint="default" w:ascii="Times New Roman" w:hAnsi="Times New Roman" w:eastAsia="仿宋_GB2312" w:cs="Times New Roman"/>
                <w:b w:val="0"/>
                <w:bCs w:val="0"/>
                <w:color w:val="auto"/>
                <w:sz w:val="21"/>
                <w:szCs w:val="21"/>
                <w:vertAlign w:val="baseline"/>
                <w:lang w:val="en-US" w:eastAsia="zh-CN"/>
              </w:rPr>
              <w:t>柳州市市场监督管理局柳东新区分局</w:t>
            </w:r>
            <w:r>
              <w:rPr>
                <w:rFonts w:hint="default" w:ascii="Times New Roman" w:hAnsi="Times New Roman" w:eastAsia="仿宋_GB2312" w:cs="Times New Roman"/>
                <w:b w:val="0"/>
                <w:bCs w:val="0"/>
                <w:sz w:val="21"/>
                <w:szCs w:val="21"/>
                <w:vertAlign w:val="baseline"/>
                <w:lang w:val="en-US" w:eastAsia="zh-CN"/>
              </w:rPr>
              <w:t>、投资促进局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trPr>
        <w:tc>
          <w:tcPr>
            <w:tcW w:w="103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p>
        </w:tc>
        <w:tc>
          <w:tcPr>
            <w:tcW w:w="37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color w:val="auto"/>
                <w:sz w:val="24"/>
                <w:szCs w:val="24"/>
                <w:vertAlign w:val="baseline"/>
                <w:lang w:eastAsia="zh-CN"/>
              </w:rPr>
            </w:pPr>
            <w:r>
              <w:rPr>
                <w:rFonts w:hint="default" w:ascii="Times New Roman" w:hAnsi="Times New Roman" w:eastAsia="仿宋_GB2312" w:cs="Times New Roman"/>
                <w:b w:val="0"/>
                <w:bCs w:val="0"/>
                <w:color w:val="auto"/>
                <w:sz w:val="24"/>
                <w:szCs w:val="24"/>
                <w:vertAlign w:val="baseline"/>
                <w:lang w:eastAsia="zh-CN"/>
              </w:rPr>
              <w:t>“沉睡”专利唤醒运用（件）</w:t>
            </w:r>
          </w:p>
        </w:tc>
        <w:tc>
          <w:tcPr>
            <w:tcW w:w="10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color w:val="auto"/>
                <w:sz w:val="24"/>
                <w:szCs w:val="24"/>
                <w:vertAlign w:val="baseline"/>
                <w:lang w:eastAsia="zh-CN"/>
              </w:rPr>
            </w:pPr>
            <w:r>
              <w:rPr>
                <w:rFonts w:hint="default" w:ascii="Times New Roman" w:hAnsi="Times New Roman" w:eastAsia="仿宋_GB2312" w:cs="Times New Roman"/>
                <w:b w:val="0"/>
                <w:bCs w:val="0"/>
                <w:sz w:val="24"/>
                <w:szCs w:val="24"/>
                <w:vertAlign w:val="baseline"/>
                <w:lang w:eastAsia="zh-CN"/>
              </w:rPr>
              <w:t>—</w:t>
            </w:r>
          </w:p>
        </w:tc>
        <w:tc>
          <w:tcPr>
            <w:tcW w:w="109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color w:val="auto"/>
                <w:sz w:val="24"/>
                <w:szCs w:val="24"/>
                <w:vertAlign w:val="baseline"/>
                <w:lang w:val="en-US" w:eastAsia="zh-CN"/>
              </w:rPr>
            </w:pPr>
            <w:r>
              <w:rPr>
                <w:rFonts w:hint="default" w:ascii="Times New Roman" w:hAnsi="Times New Roman" w:eastAsia="仿宋_GB2312" w:cs="Times New Roman"/>
                <w:b w:val="0"/>
                <w:bCs w:val="0"/>
                <w:color w:val="auto"/>
                <w:sz w:val="24"/>
                <w:szCs w:val="24"/>
                <w:vertAlign w:val="baseline"/>
                <w:lang w:val="en-US" w:eastAsia="zh-CN"/>
              </w:rPr>
              <w:t>/</w:t>
            </w:r>
          </w:p>
        </w:tc>
        <w:tc>
          <w:tcPr>
            <w:tcW w:w="25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color w:val="auto"/>
                <w:sz w:val="21"/>
                <w:szCs w:val="21"/>
                <w:vertAlign w:val="baseline"/>
                <w:lang w:val="en-US" w:eastAsia="zh-CN"/>
              </w:rPr>
            </w:pPr>
            <w:r>
              <w:rPr>
                <w:rFonts w:hint="default" w:ascii="Times New Roman" w:hAnsi="Times New Roman" w:eastAsia="仿宋_GB2312" w:cs="Times New Roman"/>
                <w:b w:val="0"/>
                <w:bCs w:val="0"/>
                <w:color w:val="auto"/>
                <w:sz w:val="21"/>
                <w:szCs w:val="21"/>
                <w:vertAlign w:val="baseline"/>
                <w:lang w:val="en-US" w:eastAsia="zh-CN"/>
              </w:rPr>
              <w:t>工业和信息化局、科技和大数据发展局、柳州市市场监督管理局柳东新区分局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trPr>
        <w:tc>
          <w:tcPr>
            <w:tcW w:w="103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6</w:t>
            </w:r>
          </w:p>
        </w:tc>
        <w:tc>
          <w:tcPr>
            <w:tcW w:w="37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eastAsia="zh-CN"/>
              </w:rPr>
            </w:pPr>
            <w:r>
              <w:rPr>
                <w:rFonts w:hint="default" w:ascii="Times New Roman" w:hAnsi="Times New Roman" w:eastAsia="仿宋_GB2312" w:cs="Times New Roman"/>
                <w:b w:val="0"/>
                <w:bCs w:val="0"/>
                <w:sz w:val="24"/>
                <w:szCs w:val="24"/>
                <w:vertAlign w:val="baseline"/>
                <w:lang w:eastAsia="zh-CN"/>
              </w:rPr>
              <w:t>专利（</w:t>
            </w:r>
            <w:r>
              <w:rPr>
                <w:rFonts w:hint="default" w:ascii="Times New Roman" w:hAnsi="Times New Roman" w:eastAsia="仿宋_GB2312" w:cs="Times New Roman"/>
                <w:b w:val="0"/>
                <w:bCs w:val="0"/>
                <w:sz w:val="24"/>
                <w:szCs w:val="24"/>
                <w:vertAlign w:val="baseline"/>
                <w:lang w:val="en-US" w:eastAsia="zh-CN"/>
              </w:rPr>
              <w:t>PCT</w:t>
            </w:r>
            <w:r>
              <w:rPr>
                <w:rFonts w:hint="default" w:ascii="Times New Roman" w:hAnsi="Times New Roman" w:eastAsia="仿宋_GB2312" w:cs="Times New Roman"/>
                <w:b w:val="0"/>
                <w:bCs w:val="0"/>
                <w:sz w:val="24"/>
                <w:szCs w:val="24"/>
                <w:vertAlign w:val="baseline"/>
                <w:lang w:eastAsia="zh-CN"/>
              </w:rPr>
              <w:t>）国际申请量（件）</w:t>
            </w:r>
          </w:p>
        </w:tc>
        <w:tc>
          <w:tcPr>
            <w:tcW w:w="10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9</w:t>
            </w:r>
          </w:p>
        </w:tc>
        <w:tc>
          <w:tcPr>
            <w:tcW w:w="109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20</w:t>
            </w:r>
          </w:p>
        </w:tc>
        <w:tc>
          <w:tcPr>
            <w:tcW w:w="25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1"/>
                <w:szCs w:val="21"/>
                <w:vertAlign w:val="baseline"/>
              </w:rPr>
            </w:pPr>
            <w:r>
              <w:rPr>
                <w:rFonts w:hint="default" w:ascii="Times New Roman" w:hAnsi="Times New Roman" w:eastAsia="仿宋_GB2312" w:cs="Times New Roman"/>
                <w:b w:val="0"/>
                <w:bCs w:val="0"/>
                <w:sz w:val="21"/>
                <w:szCs w:val="21"/>
                <w:vertAlign w:val="baseline"/>
                <w:lang w:val="en-US" w:eastAsia="zh-CN"/>
              </w:rPr>
              <w:t>工业和信息化局、科技和大数据发展局、</w:t>
            </w:r>
            <w:r>
              <w:rPr>
                <w:rFonts w:hint="default" w:ascii="Times New Roman" w:hAnsi="Times New Roman" w:eastAsia="仿宋_GB2312" w:cs="Times New Roman"/>
                <w:b w:val="0"/>
                <w:bCs w:val="0"/>
                <w:color w:val="auto"/>
                <w:sz w:val="21"/>
                <w:szCs w:val="21"/>
                <w:vertAlign w:val="baseline"/>
                <w:lang w:val="en-US" w:eastAsia="zh-CN"/>
              </w:rPr>
              <w:t>柳州市市场监督管理局柳东新区分局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103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p>
        </w:tc>
        <w:tc>
          <w:tcPr>
            <w:tcW w:w="37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eastAsia="zh-CN"/>
              </w:rPr>
            </w:pPr>
            <w:r>
              <w:rPr>
                <w:rFonts w:hint="default" w:ascii="Times New Roman" w:hAnsi="Times New Roman" w:eastAsia="仿宋_GB2312" w:cs="Times New Roman"/>
                <w:b w:val="0"/>
                <w:bCs w:val="0"/>
                <w:sz w:val="24"/>
                <w:szCs w:val="24"/>
                <w:vertAlign w:val="baseline"/>
                <w:lang w:eastAsia="zh-CN"/>
              </w:rPr>
              <w:t>中国专利奖（件）</w:t>
            </w:r>
          </w:p>
        </w:tc>
        <w:tc>
          <w:tcPr>
            <w:tcW w:w="10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2</w:t>
            </w:r>
          </w:p>
        </w:tc>
        <w:tc>
          <w:tcPr>
            <w:tcW w:w="109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4</w:t>
            </w:r>
          </w:p>
        </w:tc>
        <w:tc>
          <w:tcPr>
            <w:tcW w:w="25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1"/>
                <w:szCs w:val="21"/>
                <w:vertAlign w:val="baseline"/>
              </w:rPr>
            </w:pPr>
            <w:r>
              <w:rPr>
                <w:rFonts w:hint="default" w:ascii="Times New Roman" w:hAnsi="Times New Roman" w:eastAsia="仿宋_GB2312" w:cs="Times New Roman"/>
                <w:b w:val="0"/>
                <w:bCs w:val="0"/>
                <w:color w:val="auto"/>
                <w:sz w:val="21"/>
                <w:szCs w:val="21"/>
                <w:vertAlign w:val="baseline"/>
                <w:lang w:val="en-US" w:eastAsia="zh-CN"/>
              </w:rPr>
              <w:t>柳州市市场监督管理局柳东新区分局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103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p>
        </w:tc>
        <w:tc>
          <w:tcPr>
            <w:tcW w:w="37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eastAsia="zh-CN"/>
              </w:rPr>
            </w:pPr>
            <w:r>
              <w:rPr>
                <w:rFonts w:hint="default" w:ascii="Times New Roman" w:hAnsi="Times New Roman" w:eastAsia="仿宋_GB2312" w:cs="Times New Roman"/>
                <w:b w:val="0"/>
                <w:bCs w:val="0"/>
                <w:sz w:val="24"/>
                <w:szCs w:val="24"/>
                <w:vertAlign w:val="baseline"/>
                <w:lang w:eastAsia="zh-CN"/>
              </w:rPr>
              <w:t>自治区专利奖（件）</w:t>
            </w:r>
          </w:p>
        </w:tc>
        <w:tc>
          <w:tcPr>
            <w:tcW w:w="10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12</w:t>
            </w:r>
          </w:p>
        </w:tc>
        <w:tc>
          <w:tcPr>
            <w:tcW w:w="109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16</w:t>
            </w:r>
          </w:p>
        </w:tc>
        <w:tc>
          <w:tcPr>
            <w:tcW w:w="25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1"/>
                <w:szCs w:val="21"/>
                <w:vertAlign w:val="baseline"/>
              </w:rPr>
            </w:pPr>
            <w:r>
              <w:rPr>
                <w:rFonts w:hint="default" w:ascii="Times New Roman" w:hAnsi="Times New Roman" w:eastAsia="仿宋_GB2312" w:cs="Times New Roman"/>
                <w:b w:val="0"/>
                <w:bCs w:val="0"/>
                <w:color w:val="auto"/>
                <w:sz w:val="21"/>
                <w:szCs w:val="21"/>
                <w:vertAlign w:val="baseline"/>
                <w:lang w:val="en-US" w:eastAsia="zh-CN"/>
              </w:rPr>
              <w:t>柳州市市场监督管理局柳东新区分局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103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p>
        </w:tc>
        <w:tc>
          <w:tcPr>
            <w:tcW w:w="37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eastAsia="zh-CN"/>
              </w:rPr>
            </w:pPr>
            <w:r>
              <w:rPr>
                <w:rFonts w:hint="default" w:ascii="Times New Roman" w:hAnsi="Times New Roman" w:eastAsia="仿宋_GB2312" w:cs="Times New Roman"/>
                <w:b w:val="0"/>
                <w:bCs w:val="0"/>
                <w:sz w:val="24"/>
                <w:szCs w:val="24"/>
                <w:vertAlign w:val="baseline"/>
                <w:lang w:eastAsia="zh-CN"/>
              </w:rPr>
              <w:t>柳州市知识产权标杆企业（个）</w:t>
            </w:r>
          </w:p>
        </w:tc>
        <w:tc>
          <w:tcPr>
            <w:tcW w:w="10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eastAsia="zh-CN"/>
              </w:rPr>
            </w:pPr>
            <w:r>
              <w:rPr>
                <w:rFonts w:hint="default" w:ascii="Times New Roman" w:hAnsi="Times New Roman" w:eastAsia="仿宋_GB2312" w:cs="Times New Roman"/>
                <w:b w:val="0"/>
                <w:bCs w:val="0"/>
                <w:sz w:val="24"/>
                <w:szCs w:val="24"/>
                <w:vertAlign w:val="baseline"/>
                <w:lang w:eastAsia="zh-CN"/>
              </w:rPr>
              <w:t>—</w:t>
            </w:r>
          </w:p>
        </w:tc>
        <w:tc>
          <w:tcPr>
            <w:tcW w:w="109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10</w:t>
            </w:r>
          </w:p>
        </w:tc>
        <w:tc>
          <w:tcPr>
            <w:tcW w:w="25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1"/>
                <w:szCs w:val="21"/>
                <w:vertAlign w:val="baseline"/>
              </w:rPr>
            </w:pPr>
            <w:r>
              <w:rPr>
                <w:rFonts w:hint="default" w:ascii="Times New Roman" w:hAnsi="Times New Roman" w:eastAsia="仿宋_GB2312" w:cs="Times New Roman"/>
                <w:b w:val="0"/>
                <w:bCs w:val="0"/>
                <w:sz w:val="21"/>
                <w:szCs w:val="21"/>
                <w:vertAlign w:val="baseline"/>
                <w:lang w:val="en-US" w:eastAsia="zh-CN"/>
              </w:rPr>
              <w:t>工业和信息化局、科技和大数据发展局、</w:t>
            </w:r>
            <w:r>
              <w:rPr>
                <w:rFonts w:hint="default" w:ascii="Times New Roman" w:hAnsi="Times New Roman" w:eastAsia="仿宋_GB2312" w:cs="Times New Roman"/>
                <w:b w:val="0"/>
                <w:bCs w:val="0"/>
                <w:color w:val="auto"/>
                <w:sz w:val="21"/>
                <w:szCs w:val="21"/>
                <w:vertAlign w:val="baseline"/>
                <w:lang w:val="en-US" w:eastAsia="zh-CN"/>
              </w:rPr>
              <w:t>柳州市市场监督管理局柳东新区分局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103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7</w:t>
            </w:r>
          </w:p>
        </w:tc>
        <w:tc>
          <w:tcPr>
            <w:tcW w:w="37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eastAsia="zh-CN"/>
              </w:rPr>
            </w:pPr>
            <w:r>
              <w:rPr>
                <w:rFonts w:hint="default" w:ascii="Times New Roman" w:hAnsi="Times New Roman" w:eastAsia="仿宋_GB2312" w:cs="Times New Roman"/>
                <w:b w:val="0"/>
                <w:bCs w:val="0"/>
                <w:sz w:val="24"/>
                <w:szCs w:val="24"/>
                <w:vertAlign w:val="baseline"/>
                <w:lang w:eastAsia="zh-CN"/>
              </w:rPr>
              <w:t>自治区高价值专利培育示范中心（个）</w:t>
            </w:r>
          </w:p>
        </w:tc>
        <w:tc>
          <w:tcPr>
            <w:tcW w:w="10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eastAsia="zh-CN"/>
              </w:rPr>
            </w:pPr>
            <w:r>
              <w:rPr>
                <w:rFonts w:hint="default" w:ascii="Times New Roman" w:hAnsi="Times New Roman" w:eastAsia="仿宋_GB2312" w:cs="Times New Roman"/>
                <w:b w:val="0"/>
                <w:bCs w:val="0"/>
                <w:sz w:val="24"/>
                <w:szCs w:val="24"/>
                <w:vertAlign w:val="baseline"/>
                <w:lang w:val="en-US" w:eastAsia="zh-CN"/>
              </w:rPr>
              <w:t>3</w:t>
            </w:r>
          </w:p>
        </w:tc>
        <w:tc>
          <w:tcPr>
            <w:tcW w:w="109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5</w:t>
            </w:r>
          </w:p>
        </w:tc>
        <w:tc>
          <w:tcPr>
            <w:tcW w:w="25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1"/>
                <w:szCs w:val="21"/>
                <w:vertAlign w:val="baseline"/>
              </w:rPr>
            </w:pPr>
            <w:r>
              <w:rPr>
                <w:rFonts w:hint="default" w:ascii="Times New Roman" w:hAnsi="Times New Roman" w:eastAsia="仿宋_GB2312" w:cs="Times New Roman"/>
                <w:b w:val="0"/>
                <w:bCs w:val="0"/>
                <w:color w:val="auto"/>
                <w:sz w:val="21"/>
                <w:szCs w:val="21"/>
                <w:vertAlign w:val="baseline"/>
                <w:lang w:val="en-US" w:eastAsia="zh-CN"/>
              </w:rPr>
              <w:t>柳州市市场监督管理局柳东新区分局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trPr>
        <w:tc>
          <w:tcPr>
            <w:tcW w:w="103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p>
        </w:tc>
        <w:tc>
          <w:tcPr>
            <w:tcW w:w="37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eastAsia="zh-CN"/>
              </w:rPr>
            </w:pPr>
            <w:r>
              <w:rPr>
                <w:rFonts w:hint="default" w:ascii="Times New Roman" w:hAnsi="Times New Roman" w:eastAsia="仿宋_GB2312" w:cs="Times New Roman"/>
                <w:b w:val="0"/>
                <w:bCs w:val="0"/>
                <w:sz w:val="24"/>
                <w:szCs w:val="24"/>
                <w:vertAlign w:val="baseline"/>
                <w:lang w:eastAsia="zh-CN"/>
              </w:rPr>
              <w:t>战略性新兴产业发明专利拥有量（件）</w:t>
            </w:r>
          </w:p>
        </w:tc>
        <w:tc>
          <w:tcPr>
            <w:tcW w:w="10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eastAsia="zh-CN"/>
              </w:rPr>
              <w:t>—</w:t>
            </w:r>
          </w:p>
        </w:tc>
        <w:tc>
          <w:tcPr>
            <w:tcW w:w="109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500</w:t>
            </w:r>
          </w:p>
        </w:tc>
        <w:tc>
          <w:tcPr>
            <w:tcW w:w="25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1"/>
                <w:szCs w:val="21"/>
                <w:vertAlign w:val="baseline"/>
                <w:lang w:val="en-US" w:eastAsia="zh-CN"/>
              </w:rPr>
            </w:pPr>
            <w:r>
              <w:rPr>
                <w:rFonts w:hint="default" w:ascii="Times New Roman" w:hAnsi="Times New Roman" w:eastAsia="仿宋_GB2312" w:cs="Times New Roman"/>
                <w:b w:val="0"/>
                <w:bCs w:val="0"/>
                <w:sz w:val="21"/>
                <w:szCs w:val="21"/>
                <w:vertAlign w:val="baseline"/>
                <w:lang w:val="en-US" w:eastAsia="zh-CN"/>
              </w:rPr>
              <w:t>战略和经济发展局、工业和信息化局、教育局、科技和大数据发展局、</w:t>
            </w:r>
            <w:r>
              <w:rPr>
                <w:rFonts w:hint="default" w:ascii="Times New Roman" w:hAnsi="Times New Roman" w:eastAsia="仿宋_GB2312" w:cs="Times New Roman"/>
                <w:b w:val="0"/>
                <w:bCs w:val="0"/>
                <w:color w:val="auto"/>
                <w:sz w:val="21"/>
                <w:szCs w:val="21"/>
                <w:vertAlign w:val="baseline"/>
                <w:lang w:val="en-US" w:eastAsia="zh-CN"/>
              </w:rPr>
              <w:t>柳州市市场监督管理局柳东新区分局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5" w:hRule="atLeast"/>
        </w:trPr>
        <w:tc>
          <w:tcPr>
            <w:tcW w:w="103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rPr>
            </w:pPr>
          </w:p>
        </w:tc>
        <w:tc>
          <w:tcPr>
            <w:tcW w:w="37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10年以上高维持发明专利保有量（件）</w:t>
            </w:r>
          </w:p>
        </w:tc>
        <w:tc>
          <w:tcPr>
            <w:tcW w:w="10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122</w:t>
            </w:r>
          </w:p>
        </w:tc>
        <w:tc>
          <w:tcPr>
            <w:tcW w:w="1094" w:type="dxa"/>
            <w:noWrap w:val="0"/>
            <w:vAlign w:val="center"/>
          </w:tcPr>
          <w:p>
            <w:pPr>
              <w:pStyle w:val="4"/>
              <w:jc w:val="center"/>
              <w:rPr>
                <w:rFonts w:hint="default" w:ascii="Times New Roman" w:hAnsi="Times New Roman" w:eastAsia="仿宋_GB2312" w:cs="Times New Roman"/>
                <w:lang w:val="en-US" w:eastAsia="zh-CN"/>
              </w:rPr>
            </w:pPr>
            <w:r>
              <w:rPr>
                <w:rFonts w:hint="default" w:ascii="Times New Roman" w:hAnsi="Times New Roman" w:eastAsia="仿宋_GB2312" w:cs="Times New Roman"/>
                <w:b w:val="0"/>
                <w:bCs w:val="0"/>
                <w:kern w:val="2"/>
                <w:sz w:val="24"/>
                <w:szCs w:val="24"/>
                <w:vertAlign w:val="baseline"/>
                <w:lang w:val="en-US" w:eastAsia="zh-CN" w:bidi="ar-SA"/>
              </w:rPr>
              <w:t>480</w:t>
            </w:r>
          </w:p>
        </w:tc>
        <w:tc>
          <w:tcPr>
            <w:tcW w:w="25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1"/>
                <w:szCs w:val="21"/>
                <w:vertAlign w:val="baseline"/>
                <w:lang w:val="en-US"/>
              </w:rPr>
            </w:pPr>
            <w:r>
              <w:rPr>
                <w:rFonts w:hint="default" w:ascii="Times New Roman" w:hAnsi="Times New Roman" w:eastAsia="仿宋_GB2312" w:cs="Times New Roman"/>
                <w:b w:val="0"/>
                <w:bCs w:val="0"/>
                <w:sz w:val="21"/>
                <w:szCs w:val="21"/>
                <w:vertAlign w:val="baseline"/>
                <w:lang w:val="en-US" w:eastAsia="zh-CN"/>
              </w:rPr>
              <w:t>战略和经济发展局、工业和信息化局、教育局、科技和大数据发展局、</w:t>
            </w:r>
            <w:r>
              <w:rPr>
                <w:rFonts w:hint="default" w:ascii="Times New Roman" w:hAnsi="Times New Roman" w:eastAsia="仿宋_GB2312" w:cs="Times New Roman"/>
                <w:b w:val="0"/>
                <w:bCs w:val="0"/>
                <w:color w:val="auto"/>
                <w:sz w:val="21"/>
                <w:szCs w:val="21"/>
                <w:vertAlign w:val="baseline"/>
                <w:lang w:val="en-US" w:eastAsia="zh-CN"/>
              </w:rPr>
              <w:t>柳州市市场监督管理局柳东新区分局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103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rPr>
            </w:pPr>
          </w:p>
        </w:tc>
        <w:tc>
          <w:tcPr>
            <w:tcW w:w="37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eastAsia="zh-CN"/>
              </w:rPr>
            </w:pPr>
            <w:r>
              <w:rPr>
                <w:rFonts w:hint="default" w:ascii="Times New Roman" w:hAnsi="Times New Roman" w:eastAsia="仿宋_GB2312" w:cs="Times New Roman"/>
                <w:b w:val="0"/>
                <w:bCs w:val="0"/>
                <w:sz w:val="24"/>
                <w:szCs w:val="24"/>
                <w:vertAlign w:val="baseline"/>
                <w:lang w:eastAsia="zh-CN"/>
              </w:rPr>
              <w:t>高价值发明专利组合（件）</w:t>
            </w:r>
          </w:p>
        </w:tc>
        <w:tc>
          <w:tcPr>
            <w:tcW w:w="10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w:t>
            </w:r>
          </w:p>
        </w:tc>
        <w:tc>
          <w:tcPr>
            <w:tcW w:w="109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10</w:t>
            </w:r>
          </w:p>
        </w:tc>
        <w:tc>
          <w:tcPr>
            <w:tcW w:w="25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1"/>
                <w:szCs w:val="21"/>
                <w:vertAlign w:val="baseline"/>
              </w:rPr>
            </w:pPr>
            <w:r>
              <w:rPr>
                <w:rFonts w:hint="default" w:ascii="Times New Roman" w:hAnsi="Times New Roman" w:eastAsia="仿宋_GB2312" w:cs="Times New Roman"/>
                <w:b w:val="0"/>
                <w:bCs w:val="0"/>
                <w:color w:val="auto"/>
                <w:sz w:val="21"/>
                <w:szCs w:val="21"/>
                <w:vertAlign w:val="baseline"/>
                <w:lang w:val="en-US" w:eastAsia="zh-CN"/>
              </w:rPr>
              <w:t>柳州市市场监督管理局柳东新区分局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103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8</w:t>
            </w:r>
          </w:p>
        </w:tc>
        <w:tc>
          <w:tcPr>
            <w:tcW w:w="37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color w:val="auto"/>
                <w:sz w:val="24"/>
                <w:szCs w:val="24"/>
                <w:vertAlign w:val="baseline"/>
                <w:lang w:val="en-US" w:eastAsia="zh-CN"/>
              </w:rPr>
            </w:pPr>
            <w:r>
              <w:rPr>
                <w:rFonts w:hint="default" w:ascii="Times New Roman" w:hAnsi="Times New Roman" w:eastAsia="仿宋_GB2312" w:cs="Times New Roman"/>
                <w:b w:val="0"/>
                <w:bCs w:val="0"/>
                <w:color w:val="auto"/>
                <w:sz w:val="24"/>
                <w:szCs w:val="24"/>
                <w:vertAlign w:val="baseline"/>
                <w:lang w:val="en-US" w:eastAsia="zh-CN"/>
              </w:rPr>
              <w:t>新增地理标志保护产品</w:t>
            </w:r>
          </w:p>
        </w:tc>
        <w:tc>
          <w:tcPr>
            <w:tcW w:w="10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color w:val="auto"/>
                <w:sz w:val="24"/>
                <w:szCs w:val="24"/>
                <w:vertAlign w:val="baseline"/>
                <w:lang w:val="en-US" w:eastAsia="zh-CN"/>
              </w:rPr>
            </w:pPr>
            <w:r>
              <w:rPr>
                <w:rFonts w:hint="default" w:ascii="Times New Roman" w:hAnsi="Times New Roman" w:eastAsia="仿宋_GB2312" w:cs="Times New Roman"/>
                <w:b w:val="0"/>
                <w:bCs w:val="0"/>
                <w:color w:val="auto"/>
                <w:sz w:val="24"/>
                <w:szCs w:val="24"/>
                <w:vertAlign w:val="baseline"/>
                <w:lang w:eastAsia="zh-CN"/>
              </w:rPr>
              <w:t>—</w:t>
            </w:r>
          </w:p>
        </w:tc>
        <w:tc>
          <w:tcPr>
            <w:tcW w:w="109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color w:val="auto"/>
                <w:sz w:val="24"/>
                <w:szCs w:val="24"/>
                <w:vertAlign w:val="baseline"/>
                <w:lang w:val="en-US" w:eastAsia="zh-CN"/>
              </w:rPr>
            </w:pPr>
            <w:r>
              <w:rPr>
                <w:rFonts w:hint="default" w:ascii="Times New Roman" w:hAnsi="Times New Roman" w:eastAsia="仿宋_GB2312" w:cs="Times New Roman"/>
                <w:b w:val="0"/>
                <w:bCs w:val="0"/>
                <w:color w:val="auto"/>
                <w:sz w:val="24"/>
                <w:szCs w:val="24"/>
                <w:vertAlign w:val="baseline"/>
                <w:lang w:val="en-US" w:eastAsia="zh-CN"/>
              </w:rPr>
              <w:t>/</w:t>
            </w:r>
          </w:p>
        </w:tc>
        <w:tc>
          <w:tcPr>
            <w:tcW w:w="25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color w:val="auto"/>
                <w:sz w:val="21"/>
                <w:szCs w:val="21"/>
                <w:vertAlign w:val="baseline"/>
              </w:rPr>
            </w:pPr>
            <w:r>
              <w:rPr>
                <w:rFonts w:hint="default" w:ascii="Times New Roman" w:hAnsi="Times New Roman" w:eastAsia="仿宋_GB2312" w:cs="Times New Roman"/>
                <w:b w:val="0"/>
                <w:bCs w:val="0"/>
                <w:color w:val="auto"/>
                <w:sz w:val="21"/>
                <w:szCs w:val="21"/>
                <w:vertAlign w:val="baseline"/>
                <w:lang w:val="en-US" w:eastAsia="zh-CN"/>
              </w:rPr>
              <w:t>柳州市市场监督管理局柳东新区分局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9</w:t>
            </w:r>
          </w:p>
        </w:tc>
        <w:tc>
          <w:tcPr>
            <w:tcW w:w="37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eastAsia="zh-CN"/>
              </w:rPr>
            </w:pPr>
            <w:r>
              <w:rPr>
                <w:rFonts w:hint="default" w:ascii="Times New Roman" w:hAnsi="Times New Roman" w:eastAsia="仿宋_GB2312" w:cs="Times New Roman"/>
                <w:b w:val="0"/>
                <w:bCs w:val="0"/>
                <w:sz w:val="24"/>
                <w:szCs w:val="24"/>
                <w:vertAlign w:val="baseline"/>
                <w:lang w:eastAsia="zh-CN"/>
              </w:rPr>
              <w:t>柳州市知识产权服务业品牌机构（个）</w:t>
            </w:r>
          </w:p>
        </w:tc>
        <w:tc>
          <w:tcPr>
            <w:tcW w:w="10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eastAsia="zh-CN"/>
              </w:rPr>
            </w:pPr>
            <w:r>
              <w:rPr>
                <w:rFonts w:hint="default" w:ascii="Times New Roman" w:hAnsi="Times New Roman" w:eastAsia="仿宋_GB2312" w:cs="Times New Roman"/>
                <w:b w:val="0"/>
                <w:bCs w:val="0"/>
                <w:sz w:val="24"/>
                <w:szCs w:val="24"/>
                <w:vertAlign w:val="baseline"/>
                <w:lang w:eastAsia="zh-CN"/>
              </w:rPr>
              <w:t>—</w:t>
            </w:r>
          </w:p>
        </w:tc>
        <w:tc>
          <w:tcPr>
            <w:tcW w:w="109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w:t>
            </w:r>
          </w:p>
        </w:tc>
        <w:tc>
          <w:tcPr>
            <w:tcW w:w="25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1"/>
                <w:szCs w:val="21"/>
                <w:vertAlign w:val="baseline"/>
                <w:lang w:val="en-US"/>
              </w:rPr>
            </w:pPr>
            <w:r>
              <w:rPr>
                <w:rFonts w:hint="default" w:ascii="Times New Roman" w:hAnsi="Times New Roman" w:eastAsia="仿宋_GB2312" w:cs="Times New Roman"/>
                <w:b w:val="0"/>
                <w:bCs w:val="0"/>
                <w:sz w:val="21"/>
                <w:szCs w:val="21"/>
                <w:vertAlign w:val="baseline"/>
                <w:lang w:val="en-US" w:eastAsia="zh-CN"/>
              </w:rPr>
              <w:t>战略和经济发展局、</w:t>
            </w:r>
            <w:r>
              <w:rPr>
                <w:rFonts w:hint="default" w:ascii="Times New Roman" w:hAnsi="Times New Roman" w:eastAsia="仿宋_GB2312" w:cs="Times New Roman"/>
                <w:b w:val="0"/>
                <w:bCs w:val="0"/>
                <w:color w:val="auto"/>
                <w:sz w:val="21"/>
                <w:szCs w:val="21"/>
                <w:vertAlign w:val="baseline"/>
                <w:lang w:val="en-US" w:eastAsia="zh-CN"/>
              </w:rPr>
              <w:t>柳州市市场监督管理局柳东新区分局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103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10</w:t>
            </w:r>
          </w:p>
        </w:tc>
        <w:tc>
          <w:tcPr>
            <w:tcW w:w="37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color w:val="auto"/>
                <w:sz w:val="24"/>
                <w:szCs w:val="24"/>
                <w:vertAlign w:val="baseline"/>
                <w:lang w:val="en-US" w:eastAsia="zh-CN"/>
              </w:rPr>
            </w:pPr>
            <w:r>
              <w:rPr>
                <w:rFonts w:hint="default" w:ascii="Times New Roman" w:hAnsi="Times New Roman" w:eastAsia="仿宋_GB2312" w:cs="Times New Roman"/>
                <w:b w:val="0"/>
                <w:bCs w:val="0"/>
                <w:color w:val="auto"/>
                <w:sz w:val="24"/>
                <w:szCs w:val="24"/>
                <w:vertAlign w:val="baseline"/>
                <w:lang w:eastAsia="zh-CN"/>
              </w:rPr>
              <w:t>专利质押融资金额（万元）</w:t>
            </w:r>
            <w:r>
              <w:rPr>
                <w:rFonts w:hint="default" w:ascii="Times New Roman" w:hAnsi="Times New Roman" w:eastAsia="仿宋_GB2312" w:cs="Times New Roman"/>
                <w:b w:val="0"/>
                <w:bCs w:val="0"/>
                <w:color w:val="auto"/>
                <w:sz w:val="24"/>
                <w:szCs w:val="24"/>
                <w:vertAlign w:val="baseline"/>
                <w:lang w:val="en-US" w:eastAsia="zh-CN"/>
              </w:rPr>
              <w:t>/笔</w:t>
            </w:r>
          </w:p>
        </w:tc>
        <w:tc>
          <w:tcPr>
            <w:tcW w:w="10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color w:val="auto"/>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2868/2</w:t>
            </w:r>
          </w:p>
        </w:tc>
        <w:tc>
          <w:tcPr>
            <w:tcW w:w="109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color w:val="auto"/>
                <w:sz w:val="24"/>
                <w:szCs w:val="24"/>
                <w:vertAlign w:val="baseline"/>
                <w:lang w:val="en-US" w:eastAsia="zh-CN"/>
              </w:rPr>
            </w:pPr>
            <w:r>
              <w:rPr>
                <w:rFonts w:hint="default" w:ascii="Times New Roman" w:hAnsi="Times New Roman" w:eastAsia="仿宋_GB2312" w:cs="Times New Roman"/>
                <w:b w:val="0"/>
                <w:bCs w:val="0"/>
                <w:color w:val="auto"/>
                <w:sz w:val="24"/>
                <w:szCs w:val="24"/>
                <w:vertAlign w:val="baseline"/>
                <w:lang w:val="en-US" w:eastAsia="zh-CN"/>
              </w:rPr>
              <w:t>6000/10</w:t>
            </w:r>
          </w:p>
        </w:tc>
        <w:tc>
          <w:tcPr>
            <w:tcW w:w="25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color w:val="auto"/>
                <w:sz w:val="21"/>
                <w:szCs w:val="21"/>
                <w:vertAlign w:val="baseline"/>
                <w:lang w:val="en-US" w:eastAsia="zh-CN"/>
              </w:rPr>
            </w:pPr>
            <w:r>
              <w:rPr>
                <w:rFonts w:hint="default" w:ascii="Times New Roman" w:hAnsi="Times New Roman" w:eastAsia="仿宋_GB2312" w:cs="Times New Roman"/>
                <w:b w:val="0"/>
                <w:bCs w:val="0"/>
                <w:color w:val="auto"/>
                <w:sz w:val="21"/>
                <w:szCs w:val="21"/>
                <w:vertAlign w:val="baseline"/>
                <w:lang w:val="en-US" w:eastAsia="zh-CN"/>
              </w:rPr>
              <w:t>财政局、柳州市市场监督管理局柳东新区分局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103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p>
        </w:tc>
        <w:tc>
          <w:tcPr>
            <w:tcW w:w="37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color w:val="auto"/>
                <w:sz w:val="24"/>
                <w:szCs w:val="24"/>
                <w:vertAlign w:val="baseline"/>
                <w:lang w:val="en-US" w:eastAsia="zh-CN"/>
              </w:rPr>
            </w:pPr>
            <w:r>
              <w:rPr>
                <w:rFonts w:hint="default" w:ascii="Times New Roman" w:hAnsi="Times New Roman" w:eastAsia="仿宋_GB2312" w:cs="Times New Roman"/>
                <w:b w:val="0"/>
                <w:bCs w:val="0"/>
                <w:color w:val="auto"/>
                <w:sz w:val="24"/>
                <w:szCs w:val="24"/>
                <w:vertAlign w:val="baseline"/>
                <w:lang w:eastAsia="zh-CN"/>
              </w:rPr>
              <w:t>商标质押融资金额（</w:t>
            </w:r>
            <w:r>
              <w:rPr>
                <w:rFonts w:hint="default" w:ascii="Times New Roman" w:hAnsi="Times New Roman" w:eastAsia="仿宋_GB2312" w:cs="Times New Roman"/>
                <w:b w:val="0"/>
                <w:bCs w:val="0"/>
                <w:color w:val="auto"/>
                <w:sz w:val="24"/>
                <w:szCs w:val="24"/>
                <w:vertAlign w:val="baseline"/>
                <w:lang w:val="en-US" w:eastAsia="zh-CN"/>
              </w:rPr>
              <w:t>万元</w:t>
            </w:r>
            <w:r>
              <w:rPr>
                <w:rFonts w:hint="default" w:ascii="Times New Roman" w:hAnsi="Times New Roman" w:eastAsia="仿宋_GB2312" w:cs="Times New Roman"/>
                <w:b w:val="0"/>
                <w:bCs w:val="0"/>
                <w:color w:val="auto"/>
                <w:sz w:val="24"/>
                <w:szCs w:val="24"/>
                <w:vertAlign w:val="baseline"/>
                <w:lang w:eastAsia="zh-CN"/>
              </w:rPr>
              <w:t>）</w:t>
            </w:r>
            <w:r>
              <w:rPr>
                <w:rFonts w:hint="default" w:ascii="Times New Roman" w:hAnsi="Times New Roman" w:eastAsia="仿宋_GB2312" w:cs="Times New Roman"/>
                <w:b w:val="0"/>
                <w:bCs w:val="0"/>
                <w:color w:val="auto"/>
                <w:sz w:val="24"/>
                <w:szCs w:val="24"/>
                <w:vertAlign w:val="baseline"/>
                <w:lang w:val="en-US" w:eastAsia="zh-CN"/>
              </w:rPr>
              <w:t>/件</w:t>
            </w:r>
          </w:p>
        </w:tc>
        <w:tc>
          <w:tcPr>
            <w:tcW w:w="10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color w:val="auto"/>
                <w:sz w:val="24"/>
                <w:szCs w:val="24"/>
                <w:vertAlign w:val="baseline"/>
                <w:lang w:val="en-US" w:eastAsia="zh-CN"/>
              </w:rPr>
            </w:pPr>
            <w:r>
              <w:rPr>
                <w:rFonts w:hint="default" w:ascii="Times New Roman" w:hAnsi="Times New Roman" w:eastAsia="仿宋_GB2312" w:cs="Times New Roman"/>
                <w:b w:val="0"/>
                <w:bCs w:val="0"/>
                <w:sz w:val="24"/>
                <w:szCs w:val="24"/>
                <w:vertAlign w:val="baseline"/>
                <w:lang w:eastAsia="zh-CN"/>
              </w:rPr>
              <w:t>—</w:t>
            </w:r>
          </w:p>
        </w:tc>
        <w:tc>
          <w:tcPr>
            <w:tcW w:w="109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color w:val="auto"/>
                <w:sz w:val="24"/>
                <w:szCs w:val="24"/>
                <w:vertAlign w:val="baseline"/>
                <w:lang w:val="en-US" w:eastAsia="zh-CN"/>
              </w:rPr>
            </w:pPr>
            <w:r>
              <w:rPr>
                <w:rFonts w:hint="default" w:ascii="Times New Roman" w:hAnsi="Times New Roman" w:eastAsia="仿宋_GB2312" w:cs="Times New Roman"/>
                <w:b w:val="0"/>
                <w:bCs w:val="0"/>
                <w:color w:val="auto"/>
                <w:sz w:val="24"/>
                <w:szCs w:val="24"/>
                <w:vertAlign w:val="baseline"/>
                <w:lang w:val="en-US" w:eastAsia="zh-CN"/>
              </w:rPr>
              <w:t>/</w:t>
            </w:r>
          </w:p>
        </w:tc>
        <w:tc>
          <w:tcPr>
            <w:tcW w:w="25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color w:val="auto"/>
                <w:sz w:val="21"/>
                <w:szCs w:val="21"/>
                <w:vertAlign w:val="baseline"/>
              </w:rPr>
            </w:pPr>
            <w:r>
              <w:rPr>
                <w:rFonts w:hint="default" w:ascii="Times New Roman" w:hAnsi="Times New Roman" w:eastAsia="仿宋_GB2312" w:cs="Times New Roman"/>
                <w:b w:val="0"/>
                <w:bCs w:val="0"/>
                <w:color w:val="auto"/>
                <w:sz w:val="21"/>
                <w:szCs w:val="21"/>
                <w:vertAlign w:val="baseline"/>
                <w:lang w:val="en-US" w:eastAsia="zh-CN"/>
              </w:rPr>
              <w:t>财政局、柳州市市场监督管理局柳东新区分局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trPr>
        <w:tc>
          <w:tcPr>
            <w:tcW w:w="103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rPr>
            </w:pPr>
          </w:p>
        </w:tc>
        <w:tc>
          <w:tcPr>
            <w:tcW w:w="37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eastAsia="zh-CN"/>
              </w:rPr>
              <w:t>其他知识产权质押融资金额（</w:t>
            </w:r>
            <w:r>
              <w:rPr>
                <w:rFonts w:hint="default" w:ascii="Times New Roman" w:hAnsi="Times New Roman" w:eastAsia="仿宋_GB2312" w:cs="Times New Roman"/>
                <w:b w:val="0"/>
                <w:bCs w:val="0"/>
                <w:sz w:val="24"/>
                <w:szCs w:val="24"/>
                <w:vertAlign w:val="baseline"/>
                <w:lang w:val="en-US" w:eastAsia="zh-CN"/>
              </w:rPr>
              <w:t>万元</w:t>
            </w:r>
            <w:r>
              <w:rPr>
                <w:rFonts w:hint="default" w:ascii="Times New Roman" w:hAnsi="Times New Roman" w:eastAsia="仿宋_GB2312" w:cs="Times New Roman"/>
                <w:b w:val="0"/>
                <w:bCs w:val="0"/>
                <w:sz w:val="24"/>
                <w:szCs w:val="24"/>
                <w:vertAlign w:val="baseline"/>
                <w:lang w:eastAsia="zh-CN"/>
              </w:rPr>
              <w:t>）</w:t>
            </w:r>
            <w:r>
              <w:rPr>
                <w:rFonts w:hint="default" w:ascii="Times New Roman" w:hAnsi="Times New Roman" w:eastAsia="仿宋_GB2312" w:cs="Times New Roman"/>
                <w:b w:val="0"/>
                <w:bCs w:val="0"/>
                <w:sz w:val="24"/>
                <w:szCs w:val="24"/>
                <w:vertAlign w:val="baseline"/>
                <w:lang w:val="en-US" w:eastAsia="zh-CN"/>
              </w:rPr>
              <w:t>/件</w:t>
            </w:r>
          </w:p>
        </w:tc>
        <w:tc>
          <w:tcPr>
            <w:tcW w:w="10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eastAsia="zh-CN"/>
              </w:rPr>
            </w:pPr>
            <w:r>
              <w:rPr>
                <w:rFonts w:hint="default" w:ascii="Times New Roman" w:hAnsi="Times New Roman" w:eastAsia="仿宋_GB2312" w:cs="Times New Roman"/>
                <w:b w:val="0"/>
                <w:bCs w:val="0"/>
                <w:sz w:val="24"/>
                <w:szCs w:val="24"/>
                <w:vertAlign w:val="baseline"/>
                <w:lang w:eastAsia="zh-CN"/>
              </w:rPr>
              <w:t>—</w:t>
            </w:r>
          </w:p>
        </w:tc>
        <w:tc>
          <w:tcPr>
            <w:tcW w:w="109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rPr>
            </w:pPr>
            <w:r>
              <w:rPr>
                <w:rFonts w:hint="default" w:ascii="Times New Roman" w:hAnsi="Times New Roman" w:eastAsia="仿宋_GB2312" w:cs="Times New Roman"/>
                <w:b w:val="0"/>
                <w:bCs w:val="0"/>
                <w:sz w:val="24"/>
                <w:szCs w:val="24"/>
                <w:vertAlign w:val="baseline"/>
                <w:lang w:eastAsia="zh-CN"/>
              </w:rPr>
              <w:t>以实际业务开展为准</w:t>
            </w:r>
          </w:p>
        </w:tc>
        <w:tc>
          <w:tcPr>
            <w:tcW w:w="25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1"/>
                <w:szCs w:val="21"/>
                <w:vertAlign w:val="baseline"/>
              </w:rPr>
            </w:pPr>
            <w:r>
              <w:rPr>
                <w:rFonts w:hint="default" w:ascii="Times New Roman" w:hAnsi="Times New Roman" w:eastAsia="仿宋_GB2312" w:cs="Times New Roman"/>
                <w:b w:val="0"/>
                <w:bCs w:val="0"/>
                <w:sz w:val="21"/>
                <w:szCs w:val="21"/>
                <w:vertAlign w:val="baseline"/>
                <w:lang w:val="en-US" w:eastAsia="zh-CN"/>
              </w:rPr>
              <w:t>财政局、社会事务局、党群工作部、</w:t>
            </w:r>
            <w:r>
              <w:rPr>
                <w:rFonts w:hint="default" w:ascii="Times New Roman" w:hAnsi="Times New Roman" w:eastAsia="仿宋_GB2312" w:cs="Times New Roman"/>
                <w:b w:val="0"/>
                <w:bCs w:val="0"/>
                <w:color w:val="auto"/>
                <w:sz w:val="21"/>
                <w:szCs w:val="21"/>
                <w:vertAlign w:val="baseline"/>
                <w:lang w:val="en-US" w:eastAsia="zh-CN"/>
              </w:rPr>
              <w:t>柳州市市场监督管理局柳东新区分局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trPr>
        <w:tc>
          <w:tcPr>
            <w:tcW w:w="103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p>
        </w:tc>
        <w:tc>
          <w:tcPr>
            <w:tcW w:w="37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eastAsia="zh-CN"/>
              </w:rPr>
              <w:t>知识产权保险投保金额（</w:t>
            </w:r>
            <w:r>
              <w:rPr>
                <w:rFonts w:hint="default" w:ascii="Times New Roman" w:hAnsi="Times New Roman" w:eastAsia="仿宋_GB2312" w:cs="Times New Roman"/>
                <w:b w:val="0"/>
                <w:bCs w:val="0"/>
                <w:sz w:val="24"/>
                <w:szCs w:val="24"/>
                <w:vertAlign w:val="baseline"/>
                <w:lang w:val="en-US" w:eastAsia="zh-CN"/>
              </w:rPr>
              <w:t>万元</w:t>
            </w:r>
            <w:r>
              <w:rPr>
                <w:rFonts w:hint="default" w:ascii="Times New Roman" w:hAnsi="Times New Roman" w:eastAsia="仿宋_GB2312" w:cs="Times New Roman"/>
                <w:b w:val="0"/>
                <w:bCs w:val="0"/>
                <w:sz w:val="24"/>
                <w:szCs w:val="24"/>
                <w:vertAlign w:val="baseline"/>
                <w:lang w:eastAsia="zh-CN"/>
              </w:rPr>
              <w:t>）</w:t>
            </w:r>
            <w:r>
              <w:rPr>
                <w:rFonts w:hint="default" w:ascii="Times New Roman" w:hAnsi="Times New Roman" w:eastAsia="仿宋_GB2312" w:cs="Times New Roman"/>
                <w:b w:val="0"/>
                <w:bCs w:val="0"/>
                <w:sz w:val="24"/>
                <w:szCs w:val="24"/>
                <w:vertAlign w:val="baseline"/>
                <w:lang w:val="en-US" w:eastAsia="zh-CN"/>
              </w:rPr>
              <w:t>/笔</w:t>
            </w:r>
          </w:p>
        </w:tc>
        <w:tc>
          <w:tcPr>
            <w:tcW w:w="10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eastAsia="zh-CN"/>
              </w:rPr>
            </w:pPr>
            <w:r>
              <w:rPr>
                <w:rFonts w:hint="default" w:ascii="Times New Roman" w:hAnsi="Times New Roman" w:eastAsia="仿宋_GB2312" w:cs="Times New Roman"/>
                <w:b w:val="0"/>
                <w:bCs w:val="0"/>
                <w:sz w:val="24"/>
                <w:szCs w:val="24"/>
                <w:vertAlign w:val="baseline"/>
                <w:lang w:eastAsia="zh-CN"/>
              </w:rPr>
              <w:t>—</w:t>
            </w:r>
          </w:p>
        </w:tc>
        <w:tc>
          <w:tcPr>
            <w:tcW w:w="109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rPr>
            </w:pPr>
            <w:r>
              <w:rPr>
                <w:rFonts w:hint="default" w:ascii="Times New Roman" w:hAnsi="Times New Roman" w:eastAsia="仿宋_GB2312" w:cs="Times New Roman"/>
                <w:b w:val="0"/>
                <w:bCs w:val="0"/>
                <w:sz w:val="24"/>
                <w:szCs w:val="24"/>
                <w:vertAlign w:val="baseline"/>
                <w:lang w:eastAsia="zh-CN"/>
              </w:rPr>
              <w:t>以实际业务开展为准</w:t>
            </w:r>
          </w:p>
        </w:tc>
        <w:tc>
          <w:tcPr>
            <w:tcW w:w="25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1"/>
                <w:szCs w:val="21"/>
                <w:vertAlign w:val="baseline"/>
              </w:rPr>
            </w:pPr>
            <w:r>
              <w:rPr>
                <w:rFonts w:hint="default" w:ascii="Times New Roman" w:hAnsi="Times New Roman" w:eastAsia="仿宋_GB2312" w:cs="Times New Roman"/>
                <w:b w:val="0"/>
                <w:bCs w:val="0"/>
                <w:sz w:val="21"/>
                <w:szCs w:val="21"/>
                <w:vertAlign w:val="baseline"/>
                <w:lang w:val="en-US" w:eastAsia="zh-CN"/>
              </w:rPr>
              <w:t>财政局、</w:t>
            </w:r>
            <w:r>
              <w:rPr>
                <w:rFonts w:hint="default" w:ascii="Times New Roman" w:hAnsi="Times New Roman" w:eastAsia="仿宋_GB2312" w:cs="Times New Roman"/>
                <w:b w:val="0"/>
                <w:bCs w:val="0"/>
                <w:color w:val="auto"/>
                <w:sz w:val="21"/>
                <w:szCs w:val="21"/>
                <w:vertAlign w:val="baseline"/>
                <w:lang w:val="en-US" w:eastAsia="zh-CN"/>
              </w:rPr>
              <w:t>柳州市市场监督管理局柳东新区分局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11</w:t>
            </w:r>
          </w:p>
        </w:tc>
        <w:tc>
          <w:tcPr>
            <w:tcW w:w="37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产业规划类专利导航项目（个）</w:t>
            </w:r>
          </w:p>
        </w:tc>
        <w:tc>
          <w:tcPr>
            <w:tcW w:w="10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w:t>
            </w:r>
          </w:p>
        </w:tc>
        <w:tc>
          <w:tcPr>
            <w:tcW w:w="109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2</w:t>
            </w:r>
          </w:p>
        </w:tc>
        <w:tc>
          <w:tcPr>
            <w:tcW w:w="25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1"/>
                <w:szCs w:val="21"/>
                <w:vertAlign w:val="baseline"/>
                <w:lang w:val="en-US" w:eastAsia="zh-CN"/>
              </w:rPr>
            </w:pPr>
            <w:r>
              <w:rPr>
                <w:rFonts w:hint="default" w:ascii="Times New Roman" w:hAnsi="Times New Roman" w:eastAsia="仿宋_GB2312" w:cs="Times New Roman"/>
                <w:b w:val="0"/>
                <w:bCs w:val="0"/>
                <w:sz w:val="21"/>
                <w:szCs w:val="21"/>
                <w:vertAlign w:val="baseline"/>
                <w:lang w:val="en-US" w:eastAsia="zh-CN"/>
              </w:rPr>
              <w:t>工业和信息化局、科技和大数据发展局、</w:t>
            </w:r>
            <w:r>
              <w:rPr>
                <w:rFonts w:hint="default" w:ascii="Times New Roman" w:hAnsi="Times New Roman" w:eastAsia="仿宋_GB2312" w:cs="Times New Roman"/>
                <w:b w:val="0"/>
                <w:bCs w:val="0"/>
                <w:color w:val="auto"/>
                <w:sz w:val="21"/>
                <w:szCs w:val="21"/>
                <w:vertAlign w:val="baseline"/>
                <w:lang w:val="en-US" w:eastAsia="zh-CN"/>
              </w:rPr>
              <w:t>柳州市市场监督管理局柳东新区分局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rPr>
            </w:pPr>
          </w:p>
        </w:tc>
        <w:tc>
          <w:tcPr>
            <w:tcW w:w="37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eastAsia="zh-CN"/>
              </w:rPr>
            </w:pPr>
            <w:r>
              <w:rPr>
                <w:rFonts w:hint="default" w:ascii="Times New Roman" w:hAnsi="Times New Roman" w:eastAsia="仿宋_GB2312" w:cs="Times New Roman"/>
                <w:b w:val="0"/>
                <w:bCs w:val="0"/>
                <w:sz w:val="24"/>
                <w:szCs w:val="24"/>
                <w:vertAlign w:val="baseline"/>
                <w:lang w:eastAsia="zh-CN"/>
              </w:rPr>
              <w:t>企业运营类专利导航项目（个）</w:t>
            </w:r>
          </w:p>
        </w:tc>
        <w:tc>
          <w:tcPr>
            <w:tcW w:w="10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eastAsia="zh-CN"/>
              </w:rPr>
            </w:pPr>
            <w:r>
              <w:rPr>
                <w:rFonts w:hint="default" w:ascii="Times New Roman" w:hAnsi="Times New Roman" w:eastAsia="仿宋_GB2312" w:cs="Times New Roman"/>
                <w:b w:val="0"/>
                <w:bCs w:val="0"/>
                <w:sz w:val="24"/>
                <w:szCs w:val="24"/>
                <w:vertAlign w:val="baseline"/>
                <w:lang w:eastAsia="zh-CN"/>
              </w:rPr>
              <w:t>—</w:t>
            </w:r>
          </w:p>
        </w:tc>
        <w:tc>
          <w:tcPr>
            <w:tcW w:w="109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5</w:t>
            </w:r>
          </w:p>
        </w:tc>
        <w:tc>
          <w:tcPr>
            <w:tcW w:w="25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1"/>
                <w:szCs w:val="21"/>
                <w:vertAlign w:val="baseline"/>
                <w:lang w:val="en-US" w:eastAsia="zh-CN"/>
              </w:rPr>
            </w:pPr>
            <w:r>
              <w:rPr>
                <w:rFonts w:hint="default" w:ascii="Times New Roman" w:hAnsi="Times New Roman" w:eastAsia="仿宋_GB2312" w:cs="Times New Roman"/>
                <w:b w:val="0"/>
                <w:bCs w:val="0"/>
                <w:sz w:val="21"/>
                <w:szCs w:val="21"/>
                <w:vertAlign w:val="baseline"/>
                <w:lang w:val="en-US" w:eastAsia="zh-CN"/>
              </w:rPr>
              <w:t>工业和信息化局、科技和大数据发展局、</w:t>
            </w:r>
            <w:r>
              <w:rPr>
                <w:rFonts w:hint="default" w:ascii="Times New Roman" w:hAnsi="Times New Roman" w:eastAsia="仿宋_GB2312" w:cs="Times New Roman"/>
                <w:b w:val="0"/>
                <w:bCs w:val="0"/>
                <w:color w:val="auto"/>
                <w:sz w:val="21"/>
                <w:szCs w:val="21"/>
                <w:vertAlign w:val="baseline"/>
                <w:lang w:val="en-US" w:eastAsia="zh-CN"/>
              </w:rPr>
              <w:t>柳州市市场监督管理局柳东新区分局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12</w:t>
            </w:r>
          </w:p>
        </w:tc>
        <w:tc>
          <w:tcPr>
            <w:tcW w:w="37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color w:val="auto"/>
                <w:sz w:val="24"/>
                <w:szCs w:val="24"/>
                <w:vertAlign w:val="baseline"/>
                <w:lang w:eastAsia="zh-CN"/>
              </w:rPr>
            </w:pPr>
            <w:r>
              <w:rPr>
                <w:rFonts w:hint="default" w:ascii="Times New Roman" w:hAnsi="Times New Roman" w:eastAsia="仿宋_GB2312" w:cs="Times New Roman"/>
                <w:b w:val="0"/>
                <w:bCs w:val="0"/>
                <w:color w:val="auto"/>
                <w:sz w:val="24"/>
                <w:szCs w:val="24"/>
                <w:vertAlign w:val="baseline"/>
                <w:lang w:eastAsia="zh-CN"/>
              </w:rPr>
              <w:t>产业高价值知识产权创造保护联盟</w:t>
            </w:r>
          </w:p>
        </w:tc>
        <w:tc>
          <w:tcPr>
            <w:tcW w:w="10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color w:val="auto"/>
                <w:sz w:val="24"/>
                <w:szCs w:val="24"/>
                <w:vertAlign w:val="baseline"/>
                <w:lang w:eastAsia="zh-CN"/>
              </w:rPr>
            </w:pPr>
            <w:r>
              <w:rPr>
                <w:rFonts w:hint="default" w:ascii="Times New Roman" w:hAnsi="Times New Roman" w:eastAsia="仿宋_GB2312" w:cs="Times New Roman"/>
                <w:b w:val="0"/>
                <w:bCs w:val="0"/>
                <w:color w:val="auto"/>
                <w:sz w:val="24"/>
                <w:szCs w:val="24"/>
                <w:vertAlign w:val="baseline"/>
                <w:lang w:val="en-US" w:eastAsia="zh-CN"/>
              </w:rPr>
              <w:t>/</w:t>
            </w:r>
          </w:p>
        </w:tc>
        <w:tc>
          <w:tcPr>
            <w:tcW w:w="109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color w:val="auto"/>
                <w:sz w:val="24"/>
                <w:szCs w:val="24"/>
                <w:vertAlign w:val="baseline"/>
                <w:lang w:val="en-US" w:eastAsia="zh-CN"/>
              </w:rPr>
            </w:pPr>
            <w:r>
              <w:rPr>
                <w:rFonts w:hint="default" w:ascii="Times New Roman" w:hAnsi="Times New Roman" w:eastAsia="仿宋_GB2312" w:cs="Times New Roman"/>
                <w:b w:val="0"/>
                <w:bCs w:val="0"/>
                <w:color w:val="auto"/>
                <w:sz w:val="24"/>
                <w:szCs w:val="24"/>
                <w:vertAlign w:val="baseline"/>
                <w:lang w:val="en-US" w:eastAsia="zh-CN"/>
              </w:rPr>
              <w:t>/</w:t>
            </w:r>
          </w:p>
        </w:tc>
        <w:tc>
          <w:tcPr>
            <w:tcW w:w="25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color w:val="auto"/>
                <w:sz w:val="21"/>
                <w:szCs w:val="21"/>
                <w:vertAlign w:val="baseline"/>
                <w:lang w:val="en-US" w:eastAsia="zh-CN"/>
              </w:rPr>
            </w:pPr>
            <w:r>
              <w:rPr>
                <w:rFonts w:hint="default" w:ascii="Times New Roman" w:hAnsi="Times New Roman" w:eastAsia="仿宋_GB2312" w:cs="Times New Roman"/>
                <w:b w:val="0"/>
                <w:bCs w:val="0"/>
                <w:color w:val="auto"/>
                <w:sz w:val="21"/>
                <w:szCs w:val="21"/>
                <w:vertAlign w:val="baseline"/>
                <w:lang w:val="en-US" w:eastAsia="zh-CN"/>
              </w:rPr>
              <w:t>柳州市市场监督管理局柳东新区分局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13</w:t>
            </w:r>
          </w:p>
        </w:tc>
        <w:tc>
          <w:tcPr>
            <w:tcW w:w="37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eastAsia="zh-CN"/>
              </w:rPr>
            </w:pPr>
            <w:r>
              <w:rPr>
                <w:rFonts w:hint="default" w:ascii="Times New Roman" w:hAnsi="Times New Roman" w:eastAsia="仿宋_GB2312" w:cs="Times New Roman"/>
                <w:b w:val="0"/>
                <w:bCs w:val="0"/>
                <w:sz w:val="24"/>
                <w:szCs w:val="24"/>
                <w:vertAlign w:val="baseline"/>
                <w:lang w:eastAsia="zh-CN"/>
              </w:rPr>
              <w:t>广西知识产权“十百千”人才</w:t>
            </w:r>
          </w:p>
        </w:tc>
        <w:tc>
          <w:tcPr>
            <w:tcW w:w="10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19</w:t>
            </w:r>
          </w:p>
        </w:tc>
        <w:tc>
          <w:tcPr>
            <w:tcW w:w="109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30</w:t>
            </w:r>
          </w:p>
        </w:tc>
        <w:tc>
          <w:tcPr>
            <w:tcW w:w="25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1"/>
                <w:szCs w:val="21"/>
                <w:vertAlign w:val="baseline"/>
                <w:lang w:val="en-US" w:eastAsia="zh-CN"/>
              </w:rPr>
            </w:pPr>
            <w:r>
              <w:rPr>
                <w:rFonts w:hint="default" w:ascii="Times New Roman" w:hAnsi="Times New Roman" w:eastAsia="仿宋_GB2312" w:cs="Times New Roman"/>
                <w:b w:val="0"/>
                <w:bCs w:val="0"/>
                <w:color w:val="auto"/>
                <w:sz w:val="21"/>
                <w:szCs w:val="21"/>
                <w:vertAlign w:val="baseline"/>
                <w:lang w:val="en-US" w:eastAsia="zh-CN"/>
              </w:rPr>
              <w:t>柳州市市场监督管理局柳东新区分局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03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14</w:t>
            </w:r>
          </w:p>
        </w:tc>
        <w:tc>
          <w:tcPr>
            <w:tcW w:w="37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eastAsia="zh-CN"/>
              </w:rPr>
            </w:pPr>
            <w:r>
              <w:rPr>
                <w:rFonts w:hint="default" w:ascii="Times New Roman" w:hAnsi="Times New Roman" w:eastAsia="仿宋_GB2312" w:cs="Times New Roman"/>
                <w:b w:val="0"/>
                <w:bCs w:val="0"/>
                <w:sz w:val="24"/>
                <w:szCs w:val="24"/>
                <w:vertAlign w:val="baseline"/>
                <w:lang w:eastAsia="zh-CN"/>
              </w:rPr>
              <w:t>各类知识产权工作学习、培训、交流活动</w:t>
            </w:r>
          </w:p>
        </w:tc>
        <w:tc>
          <w:tcPr>
            <w:tcW w:w="10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1</w:t>
            </w:r>
          </w:p>
        </w:tc>
        <w:tc>
          <w:tcPr>
            <w:tcW w:w="109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5</w:t>
            </w:r>
          </w:p>
        </w:tc>
        <w:tc>
          <w:tcPr>
            <w:tcW w:w="25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1"/>
                <w:szCs w:val="21"/>
                <w:vertAlign w:val="baseline"/>
                <w:lang w:val="en-US" w:eastAsia="zh-CN"/>
              </w:rPr>
            </w:pPr>
            <w:r>
              <w:rPr>
                <w:rFonts w:hint="default" w:ascii="Times New Roman" w:hAnsi="Times New Roman" w:eastAsia="仿宋_GB2312" w:cs="Times New Roman"/>
                <w:b w:val="0"/>
                <w:bCs w:val="0"/>
                <w:color w:val="auto"/>
                <w:sz w:val="21"/>
                <w:szCs w:val="21"/>
                <w:vertAlign w:val="baseline"/>
                <w:lang w:val="en-US" w:eastAsia="zh-CN"/>
              </w:rPr>
              <w:t>柳州市市场监督管理局柳东新区分局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5" w:hRule="atLeast"/>
        </w:trPr>
        <w:tc>
          <w:tcPr>
            <w:tcW w:w="103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15</w:t>
            </w:r>
          </w:p>
        </w:tc>
        <w:tc>
          <w:tcPr>
            <w:tcW w:w="37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color w:val="auto"/>
                <w:sz w:val="24"/>
                <w:szCs w:val="24"/>
                <w:vertAlign w:val="baseline"/>
                <w:lang w:val="en-US" w:eastAsia="zh-CN"/>
              </w:rPr>
            </w:pPr>
            <w:r>
              <w:rPr>
                <w:rFonts w:hint="default" w:ascii="Times New Roman" w:hAnsi="Times New Roman" w:eastAsia="仿宋_GB2312" w:cs="Times New Roman"/>
                <w:b w:val="0"/>
                <w:bCs w:val="0"/>
                <w:color w:val="auto"/>
                <w:sz w:val="24"/>
                <w:szCs w:val="24"/>
                <w:vertAlign w:val="baseline"/>
                <w:lang w:val="en-US" w:eastAsia="zh-CN"/>
              </w:rPr>
              <w:t>省部级以上媒体知识产权工作宣传（篇次）</w:t>
            </w:r>
          </w:p>
        </w:tc>
        <w:tc>
          <w:tcPr>
            <w:tcW w:w="10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color w:val="auto"/>
                <w:sz w:val="24"/>
                <w:szCs w:val="24"/>
                <w:vertAlign w:val="baseline"/>
                <w:lang w:val="en-US" w:eastAsia="zh-CN"/>
              </w:rPr>
            </w:pPr>
            <w:r>
              <w:rPr>
                <w:rFonts w:hint="default" w:ascii="Times New Roman" w:hAnsi="Times New Roman" w:eastAsia="仿宋_GB2312" w:cs="Times New Roman"/>
                <w:b w:val="0"/>
                <w:bCs w:val="0"/>
                <w:color w:val="auto"/>
                <w:sz w:val="24"/>
                <w:szCs w:val="24"/>
                <w:vertAlign w:val="baseline"/>
                <w:lang w:val="en-US" w:eastAsia="zh-CN"/>
              </w:rPr>
              <w:t>/</w:t>
            </w:r>
          </w:p>
        </w:tc>
        <w:tc>
          <w:tcPr>
            <w:tcW w:w="109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color w:val="auto"/>
                <w:sz w:val="24"/>
                <w:szCs w:val="24"/>
                <w:vertAlign w:val="baseline"/>
                <w:lang w:val="en-US" w:eastAsia="zh-CN"/>
              </w:rPr>
            </w:pPr>
            <w:r>
              <w:rPr>
                <w:rFonts w:hint="default" w:ascii="Times New Roman" w:hAnsi="Times New Roman" w:eastAsia="仿宋_GB2312" w:cs="Times New Roman"/>
                <w:b w:val="0"/>
                <w:bCs w:val="0"/>
                <w:color w:val="auto"/>
                <w:sz w:val="24"/>
                <w:szCs w:val="24"/>
                <w:vertAlign w:val="baseline"/>
                <w:lang w:val="en-US" w:eastAsia="zh-CN"/>
              </w:rPr>
              <w:t>/</w:t>
            </w:r>
          </w:p>
        </w:tc>
        <w:tc>
          <w:tcPr>
            <w:tcW w:w="25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color w:val="auto"/>
                <w:sz w:val="21"/>
                <w:szCs w:val="21"/>
                <w:vertAlign w:val="baseline"/>
                <w:lang w:val="en-US"/>
              </w:rPr>
            </w:pPr>
            <w:r>
              <w:rPr>
                <w:rFonts w:hint="default" w:ascii="Times New Roman" w:hAnsi="Times New Roman" w:eastAsia="仿宋_GB2312" w:cs="Times New Roman"/>
                <w:b w:val="0"/>
                <w:bCs w:val="0"/>
                <w:color w:val="auto"/>
                <w:sz w:val="21"/>
                <w:szCs w:val="21"/>
                <w:vertAlign w:val="baseline"/>
                <w:lang w:val="en-US" w:eastAsia="zh-CN"/>
              </w:rPr>
              <w:t>战略和经济发展局、工业和信息化局、教育局、科技和大数据发展局、柳州市市场监督管理局柳东新区分局、柳州市公安局柳东分局、社会事务局、商贸文化旅游局、柳州市市场监督管理局柳东新区分局、党群工作部、社会综合治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5" w:hRule="atLeast"/>
        </w:trPr>
        <w:tc>
          <w:tcPr>
            <w:tcW w:w="103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16</w:t>
            </w:r>
          </w:p>
        </w:tc>
        <w:tc>
          <w:tcPr>
            <w:tcW w:w="37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知识产权文化法律“四进”活动（次）</w:t>
            </w:r>
          </w:p>
        </w:tc>
        <w:tc>
          <w:tcPr>
            <w:tcW w:w="10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w:t>
            </w:r>
          </w:p>
        </w:tc>
        <w:tc>
          <w:tcPr>
            <w:tcW w:w="109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2</w:t>
            </w:r>
          </w:p>
        </w:tc>
        <w:tc>
          <w:tcPr>
            <w:tcW w:w="25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1"/>
                <w:szCs w:val="21"/>
                <w:vertAlign w:val="baseline"/>
                <w:lang w:val="en-US"/>
              </w:rPr>
            </w:pPr>
            <w:r>
              <w:rPr>
                <w:rFonts w:hint="default" w:ascii="Times New Roman" w:hAnsi="Times New Roman" w:eastAsia="仿宋_GB2312" w:cs="Times New Roman"/>
                <w:b w:val="0"/>
                <w:bCs w:val="0"/>
                <w:sz w:val="21"/>
                <w:szCs w:val="21"/>
                <w:vertAlign w:val="baseline"/>
                <w:lang w:val="en-US" w:eastAsia="zh-CN"/>
              </w:rPr>
              <w:t>法规处、教育局、柳州市公安局柳东分局、社会事务局、商贸文化旅游局、</w:t>
            </w:r>
            <w:r>
              <w:rPr>
                <w:rFonts w:hint="default" w:ascii="Times New Roman" w:hAnsi="Times New Roman" w:eastAsia="仿宋_GB2312" w:cs="Times New Roman"/>
                <w:b w:val="0"/>
                <w:bCs w:val="0"/>
                <w:color w:val="auto"/>
                <w:sz w:val="21"/>
                <w:szCs w:val="21"/>
                <w:vertAlign w:val="baseline"/>
                <w:lang w:val="en-US" w:eastAsia="zh-CN"/>
              </w:rPr>
              <w:t>柳州市市场监督管理局柳东新区分局</w:t>
            </w:r>
            <w:r>
              <w:rPr>
                <w:rFonts w:hint="default" w:ascii="Times New Roman" w:hAnsi="Times New Roman" w:eastAsia="仿宋_GB2312" w:cs="Times New Roman"/>
                <w:b w:val="0"/>
                <w:bCs w:val="0"/>
                <w:sz w:val="21"/>
                <w:szCs w:val="21"/>
                <w:vertAlign w:val="baseline"/>
                <w:lang w:val="en-US" w:eastAsia="zh-CN"/>
              </w:rPr>
              <w:t>、党群工作部、社会综合治理办公室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注</w:t>
            </w:r>
          </w:p>
        </w:tc>
        <w:tc>
          <w:tcPr>
            <w:tcW w:w="8475" w:type="dxa"/>
            <w:gridSpan w:val="4"/>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表内知识产权包括：作品、专利、商标、地理标志、商业秘密、集成电路布图设计、植物新品种等专有权利。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sz w:val="24"/>
                <w:szCs w:val="24"/>
                <w:vertAlign w:val="baseline"/>
                <w:lang w:val="en-US" w:eastAsia="zh-CN"/>
              </w:rPr>
            </w:pPr>
          </w:p>
        </w:tc>
        <w:tc>
          <w:tcPr>
            <w:tcW w:w="8475" w:type="dxa"/>
            <w:gridSpan w:val="4"/>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firstLine="0" w:firstLineChars="0"/>
              <w:jc w:val="both"/>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2021年指标值标记“—”，意为未开展该项工作。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sz w:val="24"/>
                <w:szCs w:val="24"/>
                <w:vertAlign w:val="baseline"/>
                <w:lang w:val="en-US" w:eastAsia="zh-CN"/>
              </w:rPr>
            </w:pPr>
          </w:p>
        </w:tc>
        <w:tc>
          <w:tcPr>
            <w:tcW w:w="8475" w:type="dxa"/>
            <w:gridSpan w:val="4"/>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firstLine="0" w:firstLineChars="0"/>
              <w:jc w:val="both"/>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年度目标标记“/”，意为该项工作在当年不开展或不确定是否开展。</w:t>
            </w:r>
          </w:p>
        </w:tc>
      </w:tr>
    </w:tbl>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right="0" w:rightChars="0" w:firstLine="640" w:firstLineChars="200"/>
        <w:jc w:val="both"/>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主要任务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楷体_GB2312" w:hAnsi="楷体_GB2312" w:eastAsia="楷体_GB2312" w:cs="楷体_GB2312"/>
          <w:b w:val="0"/>
          <w:bCs w:val="0"/>
          <w:color w:val="auto"/>
          <w:sz w:val="32"/>
          <w:szCs w:val="32"/>
          <w:lang w:val="en-US" w:eastAsia="zh-CN"/>
        </w:rPr>
        <w:t>（一）高起点完善知识产权顶层设计，优化创新统筹机制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lang w:val="en-US" w:eastAsia="zh-CN"/>
        </w:rPr>
        <w:t>1.</w:t>
      </w:r>
      <w:r>
        <w:rPr>
          <w:rFonts w:hint="eastAsia" w:ascii="Times New Roman" w:hAnsi="Times New Roman" w:eastAsia="仿宋_GB2312"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lang w:val="en-US" w:eastAsia="zh-CN"/>
        </w:rPr>
        <w:t>强化知识产权工作统筹领导和组织协调。深化管委会知识产权工作体制机制改革，进一步强化高新区党工委、管委会对知识产权工作的统筹领导和组织协调，深入贯彻“创新是引领发展的第一动力，保护知识产权就是保护创新”的理念，把知识产权创造、运用和保护工作提升到助推园区高质量发展战略高度，采取“一把手”责任制，统筹协调高新区知识产权强区战略实施和国家级知识产权强国建设试点园区建设工作。</w:t>
      </w:r>
      <w:r>
        <w:rPr>
          <w:rFonts w:hint="default" w:ascii="Times New Roman" w:hAnsi="Times New Roman" w:eastAsia="仿宋_GB2312" w:cs="Times New Roman"/>
          <w:b w:val="0"/>
          <w:bCs w:val="0"/>
          <w:color w:val="auto"/>
          <w:sz w:val="32"/>
          <w:szCs w:val="32"/>
          <w:highlight w:val="none"/>
          <w:lang w:val="en-US" w:eastAsia="zh-CN"/>
        </w:rPr>
        <w:t>（责任部门：</w:t>
      </w:r>
      <w:r>
        <w:rPr>
          <w:rFonts w:hint="default" w:ascii="Times New Roman" w:hAnsi="Times New Roman" w:eastAsia="仿宋_GB2312" w:cs="Times New Roman"/>
          <w:b w:val="0"/>
          <w:bCs w:val="0"/>
          <w:sz w:val="32"/>
          <w:szCs w:val="32"/>
          <w:highlight w:val="none"/>
          <w:lang w:val="en-US" w:eastAsia="zh-CN"/>
        </w:rPr>
        <w:t>柳州高新区实施知识产权强区战略领导小组</w:t>
      </w:r>
      <w:r>
        <w:rPr>
          <w:rFonts w:hint="default" w:ascii="Times New Roman" w:hAnsi="Times New Roman" w:eastAsia="仿宋_GB2312" w:cs="Times New Roman"/>
          <w:b w:val="0"/>
          <w:bCs w:val="0"/>
          <w:color w:val="auto"/>
          <w:sz w:val="32"/>
          <w:szCs w:val="32"/>
          <w:highlight w:val="none"/>
          <w:lang w:val="en-US" w:eastAsia="zh-CN"/>
        </w:rPr>
        <w:t>各成员单位）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highlight w:val="green"/>
          <w:lang w:val="en-US" w:eastAsia="zh-CN"/>
        </w:rPr>
      </w:pPr>
      <w:r>
        <w:rPr>
          <w:rFonts w:hint="default" w:ascii="Times New Roman" w:hAnsi="Times New Roman" w:eastAsia="仿宋_GB2312" w:cs="Times New Roman"/>
          <w:b w:val="0"/>
          <w:bCs w:val="0"/>
          <w:color w:val="auto"/>
          <w:sz w:val="32"/>
          <w:szCs w:val="32"/>
          <w:lang w:val="en-US" w:eastAsia="zh-CN"/>
        </w:rPr>
        <w:t>2.</w:t>
      </w:r>
      <w:r>
        <w:rPr>
          <w:rFonts w:hint="eastAsia" w:ascii="Times New Roman" w:hAnsi="Times New Roman" w:eastAsia="仿宋_GB2312"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lang w:val="en-US" w:eastAsia="zh-CN"/>
        </w:rPr>
        <w:t>建立健全国家级知识产权强国建设试点园区建设工作体系。制定高新区国家知识产权强国建设试点园区建设工作方案，分解任务，压实责任，强化绩效；以国家级知识产权强国建设试点园区建设为载体，与全市全面启动实施知识产权强市战略步调一致，细化研究制定知识产权强市战略高新区实施方案，进一步打通知识产权创造、运用、保护、管理、服务全链条，不断提升园区知识产权现代化治理能力和治理水平</w:t>
      </w:r>
      <w:r>
        <w:rPr>
          <w:rFonts w:hint="default" w:ascii="Times New Roman" w:hAnsi="Times New Roman" w:eastAsia="仿宋_GB2312" w:cs="Times New Roman"/>
          <w:b w:val="0"/>
          <w:bCs w:val="0"/>
          <w:color w:val="auto"/>
          <w:sz w:val="32"/>
          <w:szCs w:val="32"/>
          <w:highlight w:val="none"/>
          <w:lang w:val="en-US" w:eastAsia="zh-CN"/>
        </w:rPr>
        <w:t>。（责任部门：</w:t>
      </w:r>
      <w:r>
        <w:rPr>
          <w:rFonts w:hint="default" w:ascii="Times New Roman" w:hAnsi="Times New Roman" w:eastAsia="仿宋_GB2312" w:cs="Times New Roman"/>
          <w:b w:val="0"/>
          <w:bCs w:val="0"/>
          <w:sz w:val="32"/>
          <w:szCs w:val="32"/>
          <w:highlight w:val="none"/>
          <w:lang w:val="en-US" w:eastAsia="zh-CN"/>
        </w:rPr>
        <w:t>柳州高新区实施知识产权强区战略领导小组</w:t>
      </w:r>
      <w:r>
        <w:rPr>
          <w:rFonts w:hint="default" w:ascii="Times New Roman" w:hAnsi="Times New Roman" w:eastAsia="仿宋_GB2312" w:cs="Times New Roman"/>
          <w:b w:val="0"/>
          <w:bCs w:val="0"/>
          <w:color w:val="auto"/>
          <w:sz w:val="32"/>
          <w:szCs w:val="32"/>
          <w:highlight w:val="none"/>
          <w:lang w:val="en-US" w:eastAsia="zh-CN"/>
        </w:rPr>
        <w:t>各成员单位）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3.</w:t>
      </w:r>
      <w:r>
        <w:rPr>
          <w:rFonts w:hint="eastAsia" w:ascii="Times New Roman" w:hAnsi="Times New Roman" w:eastAsia="仿宋_GB2312"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lang w:val="en-US" w:eastAsia="zh-CN"/>
        </w:rPr>
        <w:t>夯实高新区知识产权保护工作法治化基础。建立健全高新区知识产权保护体系和援助体系，制定出台知识产权工作规章，协同柳州市开展专利监管工作改革试点，形成以保护促创新的知识产权质量提升新局面。〔责任部门（单位）：柳州市市场监督管理局柳东新区分局，柳州市公安局柳东分局、法规处、社会事务局、党群工作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4.</w:t>
      </w:r>
      <w:r>
        <w:rPr>
          <w:rFonts w:hint="eastAsia" w:ascii="Times New Roman" w:hAnsi="Times New Roman" w:eastAsia="仿宋_GB2312"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lang w:val="en-US" w:eastAsia="zh-CN"/>
        </w:rPr>
        <w:t>创新知识产权奖励机制。立足新发展阶段，贯彻新发展理念，推动高新区修订完善符合园区实际、具有园区特色、激发实体产业创新活力的激励措施，开展专利质量提升工程，科学谋划设定高新区“</w:t>
      </w:r>
      <w:r>
        <w:rPr>
          <w:rFonts w:hint="eastAsia" w:eastAsia="仿宋_GB2312" w:cs="Times New Roman"/>
          <w:b w:val="0"/>
          <w:bCs w:val="0"/>
          <w:color w:val="auto"/>
          <w:sz w:val="32"/>
          <w:szCs w:val="32"/>
          <w:lang w:val="en-US" w:eastAsia="zh-CN"/>
        </w:rPr>
        <w:t>“十四五”</w:t>
      </w:r>
      <w:r>
        <w:rPr>
          <w:rFonts w:hint="default" w:ascii="Times New Roman" w:hAnsi="Times New Roman" w:eastAsia="仿宋_GB2312" w:cs="Times New Roman"/>
          <w:b w:val="0"/>
          <w:bCs w:val="0"/>
          <w:color w:val="auto"/>
          <w:sz w:val="32"/>
          <w:szCs w:val="32"/>
          <w:lang w:val="en-US" w:eastAsia="zh-CN"/>
        </w:rPr>
        <w:t>”时期高价值专利工作指标，规范财政资金的使用管理。（责任部门：柳州市市场监督管理局柳东新区分局，战略和经济发展局、工业和信息化局、科技和大数据发展局、财政局）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楷体_GB2312" w:hAnsi="楷体_GB2312" w:eastAsia="楷体_GB2312" w:cs="楷体_GB2312"/>
          <w:b w:val="0"/>
          <w:bCs w:val="0"/>
          <w:color w:val="auto"/>
          <w:sz w:val="32"/>
          <w:szCs w:val="32"/>
          <w:lang w:val="en-US" w:eastAsia="zh-CN"/>
        </w:rPr>
        <w:t>（二）高标准构建知识产权保护体系，规范市场创新秩序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1.</w:t>
      </w:r>
      <w:r>
        <w:rPr>
          <w:rFonts w:hint="eastAsia" w:ascii="Times New Roman" w:hAnsi="Times New Roman" w:eastAsia="仿宋_GB2312"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lang w:val="en-US" w:eastAsia="zh-CN"/>
        </w:rPr>
        <w:t>严格制度，深化知识产权严保护。深入开展知识产权行政执法“铁拳”行动，严厉打击知识产权假冒侵权行为；开展专利代理行业“蓝天”专项整治行动，集中整治专利代理行业违法违规行为；对商标恶意注册、非正常专利申请和恶意诉讼等行为，保持高压严打态势。推进行政执法和刑事司法立案标准衔接，畅通侵犯知识产权案件线索提级移送渠道，保证有案必查，违法必究。建立完善市场主体诚信档案“黑名单”制度，探索完善知识产权领域以信用为基础的分级分类监管新经验、新模式。全面加强专利、商标、著作权和植物新品种等知识产权保护，落实新业态新领域和传统文化、传统知识等领域知识产权保护制度。定期发布知识产权典型案例，加大知识产权法律法规宣传和社会公众引导。〔责任部门（单位）：柳州市市场监督管理局柳东新区分局，法规处、战略和经济发展局、柳州市公安局柳东分局、社会事务局、党群工作部、社会综合治理办公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2.</w:t>
      </w:r>
      <w:r>
        <w:rPr>
          <w:rFonts w:hint="eastAsia" w:ascii="Times New Roman" w:hAnsi="Times New Roman" w:eastAsia="仿宋_GB2312"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lang w:val="en-US" w:eastAsia="zh-CN"/>
        </w:rPr>
        <w:t>加强协作，推进知识产权快保护。结合高新区汽车制造、高端装备制造等优势特色产业，积极推动国家知识产权保护中心建设工作，为高新区高新技术企业建立快速受理、快速审查、快速确权、快速维权于一体的知识产权“一站式”综合服务平台。积极推进柳州市知识产权协同保护中心柳州高新区分中心建设，充分发挥知识产权协同保护中心工作机制效能，加强跨部门跨区域知识产权协作，健全部门间重大案件联合查办和移交机制，提高办案效率。协同全市探索建立电商平台、展会、专业市场、进出口等关键领域和环节的知识产权行政执法、仲裁、调解等快速处理绿色通道。推动电商平台建立快速处置实用新型和外观设计专利侵权投诉制度。开展网络生态治理专项行动，指导各类网站规范管理，删除侵权内容，屏蔽或断开盗版网站链接，停止侵权信息传播，打击利用版权诉讼进行投机性牟利等行为。推动高新区商业综合体进入柳州市知识产权保护重点关注市场名录，不断提升重点关注市场的引领示范作用，力争培育一批国家级知识产权保护规范化市场。〔责任部门（单位）：柳州市市场监督管理局柳东新区分局，战略和经济发展局、柳州市公安局柳东分局、法规处、社会事务局、商贸文化旅游局、党群工作部、社会综合治理办公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3.</w:t>
      </w:r>
      <w:r>
        <w:rPr>
          <w:rFonts w:hint="eastAsia" w:ascii="Times New Roman" w:hAnsi="Times New Roman" w:eastAsia="仿宋_GB2312"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lang w:val="en-US" w:eastAsia="zh-CN"/>
        </w:rPr>
        <w:t>畅通渠道，促进知识产权同保护。利用中国—东盟博览会、广西发明创造成果展览交易会、知识产权宣传周等交流合作平台，大力宣传高新区知识产权保护和促进发展成就，加强与</w:t>
      </w:r>
      <w:r>
        <w:rPr>
          <w:rFonts w:hint="default" w:ascii="Times New Roman" w:hAnsi="Times New Roman" w:eastAsia="仿宋_GB2312" w:cs="Times New Roman"/>
          <w:b w:val="0"/>
          <w:bCs w:val="0"/>
          <w:strike w:val="0"/>
          <w:color w:val="auto"/>
          <w:sz w:val="32"/>
          <w:szCs w:val="32"/>
          <w:lang w:val="en-US" w:eastAsia="zh-CN"/>
        </w:rPr>
        <w:t>RCEP成员国</w:t>
      </w:r>
      <w:r>
        <w:rPr>
          <w:rFonts w:hint="default" w:ascii="Times New Roman" w:hAnsi="Times New Roman" w:eastAsia="仿宋_GB2312" w:cs="Times New Roman"/>
          <w:b w:val="0"/>
          <w:bCs w:val="0"/>
          <w:color w:val="auto"/>
          <w:sz w:val="32"/>
          <w:szCs w:val="32"/>
          <w:lang w:val="en-US" w:eastAsia="zh-CN"/>
        </w:rPr>
        <w:t>的知识产权信息交流和沟通合作。畅通国内外权利人沟通渠道，探索建立高新区优势特色产业面向东盟及海外市场的知识产权预警和应急机制。围绕贸易往来和技术转移相关领域，为企业涉外知识产权布局、纠纷维权提供技术指导和服务。推动保险机构开展知识产权侵权责任险、专利执行险、专利被侵权损失险、专利代理责任险等保险业务，探索建立海外知识产权保险激励机制。（责任部门：柳州市市场监督管理局柳东新区分局，战略和经济发展局、工业和信息化局、教育局、科技和大数据发展局、社会事务局、商贸文化旅游局、党群工作部、财政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rPr>
      </w:pPr>
      <w:r>
        <w:rPr>
          <w:rFonts w:hint="default" w:ascii="楷体_GB2312" w:hAnsi="楷体_GB2312" w:eastAsia="楷体_GB2312" w:cs="楷体_GB2312"/>
          <w:b w:val="0"/>
          <w:bCs w:val="0"/>
          <w:color w:val="auto"/>
          <w:sz w:val="32"/>
          <w:szCs w:val="32"/>
          <w:lang w:val="en-US" w:eastAsia="zh-CN"/>
        </w:rPr>
        <w:t>（三）高价值引领知识产权创造运用，激发工业争先动能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1.</w:t>
      </w:r>
      <w:r>
        <w:rPr>
          <w:rFonts w:hint="eastAsia" w:ascii="Times New Roman" w:hAnsi="Times New Roman" w:eastAsia="仿宋_GB2312"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lang w:val="en-US" w:eastAsia="zh-CN"/>
        </w:rPr>
        <w:t>大力推进知识产权运营服务体系建设。制定出台高新区知识产权运营服务体系建设方案，构建更加完善的要素市场化配置体制机制，壮大高新区知识产权运营公共服务平台，促进知识产权创新成果转化率和实施效益。依托知识产权运营公共服务平台，完善配套优势特色产业知识产权促进服务保障体系和政策资金扶持</w:t>
      </w:r>
      <w:r>
        <w:rPr>
          <w:rFonts w:hint="default" w:ascii="Times New Roman" w:hAnsi="Times New Roman" w:eastAsia="仿宋_GB2312" w:cs="Times New Roman"/>
          <w:b w:val="0"/>
          <w:bCs w:val="0"/>
          <w:color w:val="auto"/>
          <w:sz w:val="32"/>
          <w:szCs w:val="32"/>
          <w:highlight w:val="none"/>
          <w:lang w:val="en-US" w:eastAsia="zh-CN"/>
        </w:rPr>
        <w:t>，在全市创先开展满足高新区高质量发展的知识产权运营聚合系统、知识产权预警中心、创新主体知识产权（专利）托管中心、校企知识产权运营联盟和世界知识产权组织（WIPO）技术与创新支持中心（TISC）建设落地工作</w:t>
      </w:r>
      <w:r>
        <w:rPr>
          <w:rFonts w:hint="default" w:ascii="Times New Roman" w:hAnsi="Times New Roman" w:eastAsia="仿宋_GB2312" w:cs="Times New Roman"/>
          <w:b w:val="0"/>
          <w:bCs w:val="0"/>
          <w:color w:val="auto"/>
          <w:sz w:val="32"/>
          <w:szCs w:val="32"/>
          <w:lang w:val="en-US" w:eastAsia="zh-CN"/>
        </w:rPr>
        <w:t>。推进专利技术供需对接，开展“沉睡专利”唤醒行动，加大专利技术许可力度。鼓励高等学校、科研院所加强优势特色学科专利创造运用，推进科技创新和知识产权管理、专利技术成果转移转化融合发展。（责任部门：柳州市市场监督管理局柳东新区分局，战略和经济发展局、工业和信息化局、教育局、科技和大数据发展局、财政局、社会事务局、党群工作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2.</w:t>
      </w:r>
      <w:r>
        <w:rPr>
          <w:rFonts w:hint="eastAsia" w:ascii="Times New Roman" w:hAnsi="Times New Roman" w:eastAsia="仿宋_GB2312"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lang w:val="en-US" w:eastAsia="zh-CN"/>
        </w:rPr>
        <w:t>深入开展专利质量提升行动。强化质量导向，科学设定专利工作指标，调整完善专利资助奖励政策，优化财政资金使用管理，规范专利工作秩序。重点加大对授权后专利转化运用、行政保护和公共服务的投入，支持创新主体通过专利合作条约（PCT）途径参与国际创新合作和竞争，鼓励专利权人开展专利密集型产品备案认定。不断强化高新区企业进入自治区知识产权优势企业、国家知识产权优势企业、国家知识产权示范企业梯队建设，培育一批知识产权标杆企业。加强监督管理，严厉打击专利代理机构违法违规行为，遏制非正常专利申请、转让、许可等行为，规范创新秩序，持续优化创新环境和营商环境。（责任部门：柳州市市场监督管理局柳东新区分局，战略和经济发展局、工业和信息化局、教育局、科技和大数据发展局、财政局、社会事务局、党群工作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3.</w:t>
      </w:r>
      <w:r>
        <w:rPr>
          <w:rFonts w:hint="eastAsia" w:ascii="Times New Roman" w:hAnsi="Times New Roman" w:eastAsia="仿宋_GB2312"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lang w:val="en-US" w:eastAsia="zh-CN"/>
        </w:rPr>
        <w:t>重点实施高价值发明专利培育工程。贯彻落实国家高价值专利工作精神，强化政策引导和资金扶持力度，开展自治区级和市级高价值专利培育示范中心建设，大力开展高价值发明专利和高价值发明专利组合培育工作。完善战略性新兴产业技术创新高价值发明专利培育机制，加大对10年以上高维持有效发明专利运用保护力度，支持国内外优质专利在高新区集聚、交易和转化，促进以高价值发明专利为核心的技术专利化、专利标准化、标准产业化、产业品牌化创新驱动产业高质量发展。（责任部门：柳州市市场监督管理局柳东新区分局，战略和经济发展局、工业和信息化局、教育局、科技和大数据发展局、财政局、社会事务局、党群工作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4.</w:t>
      </w:r>
      <w:r>
        <w:rPr>
          <w:rFonts w:hint="eastAsia" w:ascii="Times New Roman" w:hAnsi="Times New Roman" w:eastAsia="仿宋_GB2312"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lang w:val="en-US" w:eastAsia="zh-CN"/>
        </w:rPr>
        <w:t>持续加强商标品牌促进运用。深入实施商标品牌强市战略，按照柳州市的战略规划，统筹商标、地理标志等区域公共品牌创造、运用和保护工作，完善品牌知识产权保护促进体制机制，加大对商标品牌创新主体引导扶持力度，精准培育地理标志商标和地理标志保护产品，不断提升高新区优势特色产业企业品牌价值和影响力，加快推动高新区产品向高新区品牌转化。推进高新区农产品品牌化建设，开展特色农产品地理标志保护产品申报工作，充分运用标准化技术手段提高地理标志品牌经济核心竞争力。弘扬品牌文化，助力乡村振兴，推动地方特色经济高质量发展。</w:t>
      </w:r>
      <w:r>
        <w:rPr>
          <w:rFonts w:hint="default" w:ascii="Times New Roman" w:hAnsi="Times New Roman" w:eastAsia="仿宋_GB2312" w:cs="Times New Roman"/>
          <w:b w:val="0"/>
          <w:bCs w:val="0"/>
          <w:color w:val="auto"/>
          <w:kern w:val="0"/>
          <w:sz w:val="32"/>
          <w:szCs w:val="32"/>
          <w:lang w:val="en-US" w:eastAsia="zh-CN" w:bidi="ar"/>
        </w:rPr>
        <w:t>（</w:t>
      </w:r>
      <w:r>
        <w:rPr>
          <w:rFonts w:hint="default" w:ascii="Times New Roman" w:hAnsi="Times New Roman" w:eastAsia="仿宋_GB2312" w:cs="Times New Roman"/>
          <w:b w:val="0"/>
          <w:bCs w:val="0"/>
          <w:color w:val="auto"/>
          <w:sz w:val="32"/>
          <w:szCs w:val="32"/>
          <w:lang w:val="en-US" w:eastAsia="zh-CN"/>
        </w:rPr>
        <w:t>责任部门：柳州市市场监督管理局柳东新区分局，战略和经济发展局、财政局、社会事务局、商贸文化旅游局）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40" w:firstLineChars="200"/>
        <w:jc w:val="both"/>
        <w:textAlignment w:val="auto"/>
        <w:outlineLvl w:val="9"/>
        <w:rPr>
          <w:rFonts w:hint="default" w:ascii="楷体_GB2312" w:hAnsi="楷体_GB2312" w:eastAsia="楷体_GB2312" w:cs="楷体_GB2312"/>
          <w:b w:val="0"/>
          <w:bCs w:val="0"/>
          <w:color w:val="auto"/>
          <w:sz w:val="32"/>
          <w:szCs w:val="32"/>
          <w:lang w:val="en-US" w:eastAsia="zh-CN"/>
        </w:rPr>
      </w:pPr>
      <w:r>
        <w:rPr>
          <w:rFonts w:hint="default" w:ascii="楷体_GB2312" w:hAnsi="楷体_GB2312" w:eastAsia="楷体_GB2312" w:cs="楷体_GB2312"/>
          <w:b w:val="0"/>
          <w:bCs w:val="0"/>
          <w:color w:val="auto"/>
          <w:sz w:val="32"/>
          <w:szCs w:val="32"/>
          <w:lang w:val="en-US" w:eastAsia="zh-CN"/>
        </w:rPr>
        <w:t>（四）高质量打造知识产权服务链条，助推工业转型升级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1.</w:t>
      </w:r>
      <w:r>
        <w:rPr>
          <w:rFonts w:hint="eastAsia" w:ascii="Times New Roman" w:hAnsi="Times New Roman" w:eastAsia="仿宋_GB2312"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lang w:val="en-US" w:eastAsia="zh-CN"/>
        </w:rPr>
        <w:t>推动知识产权服务要素集聚。发展壮大知识产权服务业，夯实知识产权服务基础公共设施，推动知识产权代理、法律、运营、信息、咨询、评估、维权、培训等服务专业化、社会化和网络化。面向高新区重点战略性新兴产业和优势特色产业，完善知识产权基础数据、信息情报、预警分析、维权援助等服务供给。繁荣规范知识产权服务市场，加快形成知识产权服务业集聚效应，实现知识产权服务要素向产业链、创新链集聚。开展知识产权服务质量提升和服务机构试点示范工作，打造一批优质的本土知识产权服务业品牌。鼓励知识产权服务机构主动对接产业企业需求，提供多元商用化服务，支持“走出去”战略的实施，不断提升知识产权服务对科技创新和经济发展的支撑作用，推动知识产权服务业高质量发展。（责任部门：柳州市市场监督管理局柳东新区分局，战略和经济发展局、工业和信息化局、科技和大数据发展局、社会事务局、商贸文化旅游局、党群工作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2.</w:t>
      </w:r>
      <w:r>
        <w:rPr>
          <w:rFonts w:hint="eastAsia" w:ascii="Times New Roman" w:hAnsi="Times New Roman" w:eastAsia="仿宋_GB2312"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lang w:val="en-US" w:eastAsia="zh-CN"/>
        </w:rPr>
        <w:t>发展壮大知识产权金融服务。推动知识产权和金融资源深度融合，构建知识产权资本化高新区模式和交易服务平台，促进地方经济社会创新发展、支撑创新型产城融合城市建设。深化拓展知识产权质押融资工作，健全知识产权评估和风险防控制度，探索建立知识产权质押融资风险多方分担机制。大力推动金融机构为园区需求企业提供知识产权质押融资服务，创新知识产权质押融资服务模式，拓宽中小企业融资渠道，激发提升科创型企业创新活力和质量效益。培育规范知识产权保险市场，推动保险机构开展与知识产权质押融资相关的保证、知识产权被侵权损失保险、侵权责任保险等保险业务，支持保险机构开发涉及知识产权的新产品，为激发市场创新活力提供保险服务。完善以金融机构、创业投资为主、民间资本广泛参与的知识产权投融资体系，探索知识产权证券化金融创新路径，鼓励有条件的企事业单位开展知识产权证券投融资业务，推动构建多层次知识产权金融市场，助力发展自主知识产权。（责任部门：柳州市市场监督管理局柳东新区分局，战略和经济发展局、工业和信息化局、科技和大数据发展局、财政局、社会事务局、党群工作部、财政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3.</w:t>
      </w:r>
      <w:r>
        <w:rPr>
          <w:rFonts w:hint="eastAsia" w:ascii="Times New Roman" w:hAnsi="Times New Roman" w:eastAsia="仿宋_GB2312"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lang w:val="en-US" w:eastAsia="zh-CN"/>
        </w:rPr>
        <w:t>提升知识产权服务支撑保障机制。建立健全知识产权评议、预警、应急和统计分析等服务支撑保障机制。在重大产业规划制定和重大经济活动实施前，对所涉及的知识产权状况进行分析、评估，防范知识产权风险。逐步实施高新区知识产权发展质量评价工作，加强对重点行业领域知识产权发展现状、趋势、竞争态势和国际环境的监测分析，为公共研发、经贸、投资、技术转移和对外转让等经济活动的决策和实施，提供必要的知识产权风险预警和规避建议。加强知识产权领域突发事件预防控制，对重大事件进行报告、应急处置和信息发布。健全地方知识产权指标统计监测体系，充分运用大数据、信息化技术手段，深化知识产权数据统计分析和研判，创新知识产权统计制度和统计方法，规范知识产权统计数据的发布和共享，为准确反映园区、产业和企业知识产权发展提供统计依据和数据支撑。</w:t>
      </w:r>
      <w:r>
        <w:rPr>
          <w:rFonts w:hint="default" w:ascii="Times New Roman" w:hAnsi="Times New Roman" w:eastAsia="仿宋_GB2312" w:cs="Times New Roman"/>
          <w:b w:val="0"/>
          <w:bCs w:val="0"/>
          <w:color w:val="auto"/>
          <w:kern w:val="0"/>
          <w:sz w:val="32"/>
          <w:szCs w:val="32"/>
          <w:lang w:val="en-US" w:eastAsia="zh-CN" w:bidi="ar"/>
        </w:rPr>
        <w:t>（</w:t>
      </w:r>
      <w:r>
        <w:rPr>
          <w:rFonts w:hint="default" w:ascii="Times New Roman" w:hAnsi="Times New Roman" w:eastAsia="仿宋_GB2312" w:cs="Times New Roman"/>
          <w:b w:val="0"/>
          <w:bCs w:val="0"/>
          <w:color w:val="auto"/>
          <w:sz w:val="32"/>
          <w:szCs w:val="32"/>
          <w:lang w:val="en-US" w:eastAsia="zh-CN"/>
        </w:rPr>
        <w:t>责任部门：柳州市市场监督管理局柳东新区分局，战略和经济发展局、工业和信息化局、教育局、科技和大数据发展局、社会事务局、财政局、投资促进局、党群工作部）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40" w:firstLineChars="200"/>
        <w:jc w:val="both"/>
        <w:textAlignment w:val="auto"/>
        <w:outlineLvl w:val="9"/>
        <w:rPr>
          <w:rFonts w:hint="default" w:ascii="Times New Roman" w:hAnsi="Times New Roman" w:eastAsia="仿宋_GB2312" w:cs="Times New Roman"/>
          <w:b w:val="0"/>
          <w:bCs w:val="0"/>
          <w:color w:val="auto"/>
          <w:kern w:val="0"/>
          <w:sz w:val="32"/>
          <w:szCs w:val="32"/>
          <w:lang w:val="en-US" w:eastAsia="zh-CN" w:bidi="ar"/>
        </w:rPr>
      </w:pPr>
      <w:r>
        <w:rPr>
          <w:rFonts w:hint="default" w:ascii="楷体_GB2312" w:hAnsi="楷体_GB2312" w:eastAsia="楷体_GB2312" w:cs="楷体_GB2312"/>
          <w:b w:val="0"/>
          <w:bCs w:val="0"/>
          <w:color w:val="auto"/>
          <w:sz w:val="32"/>
          <w:szCs w:val="32"/>
          <w:lang w:val="en-US" w:eastAsia="zh-CN"/>
        </w:rPr>
        <w:t>（五）高水平布局知识产权创新输出，引领工业开放自强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40" w:firstLineChars="200"/>
        <w:jc w:val="both"/>
        <w:textAlignment w:val="auto"/>
        <w:outlineLvl w:val="9"/>
        <w:rPr>
          <w:rFonts w:hint="default" w:ascii="Times New Roman" w:hAnsi="Times New Roman" w:eastAsia="仿宋_GB2312" w:cs="Times New Roman"/>
          <w:b w:val="0"/>
          <w:bCs w:val="0"/>
          <w:color w:val="auto"/>
          <w:kern w:val="0"/>
          <w:sz w:val="32"/>
          <w:szCs w:val="32"/>
          <w:lang w:val="en-US" w:eastAsia="zh-CN" w:bidi="ar"/>
        </w:rPr>
      </w:pPr>
      <w:r>
        <w:rPr>
          <w:rFonts w:hint="default" w:ascii="Times New Roman" w:hAnsi="Times New Roman" w:eastAsia="仿宋_GB2312" w:cs="Times New Roman"/>
          <w:b w:val="0"/>
          <w:bCs w:val="0"/>
          <w:color w:val="auto"/>
          <w:sz w:val="32"/>
          <w:szCs w:val="32"/>
          <w:lang w:val="en-US" w:eastAsia="zh-CN"/>
        </w:rPr>
        <w:t>1.</w:t>
      </w:r>
      <w:r>
        <w:rPr>
          <w:rFonts w:hint="eastAsia" w:ascii="Times New Roman" w:hAnsi="Times New Roman" w:eastAsia="仿宋_GB2312"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lang w:val="en-US" w:eastAsia="zh-CN"/>
        </w:rPr>
        <w:t>夯实特色产业专利导航工作基础。深入推进“专利导航特色产业转型升级”试点建设特色主题工作。建设优势特色产业领域专利基础信息数据库，</w:t>
      </w:r>
      <w:r>
        <w:rPr>
          <w:rFonts w:hint="default" w:ascii="Times New Roman" w:hAnsi="Times New Roman" w:eastAsia="仿宋_GB2312" w:cs="Times New Roman"/>
          <w:b w:val="0"/>
          <w:bCs w:val="0"/>
          <w:color w:val="auto"/>
          <w:sz w:val="32"/>
          <w:szCs w:val="32"/>
          <w:highlight w:val="none"/>
          <w:lang w:val="en-US" w:eastAsia="zh-CN"/>
        </w:rPr>
        <w:t>研发专利导航路径分析和海外布局应用系统。</w:t>
      </w:r>
      <w:r>
        <w:rPr>
          <w:rFonts w:hint="default" w:ascii="Times New Roman" w:hAnsi="Times New Roman" w:eastAsia="仿宋_GB2312" w:cs="Times New Roman"/>
          <w:b w:val="0"/>
          <w:bCs w:val="0"/>
          <w:color w:val="auto"/>
          <w:sz w:val="32"/>
          <w:szCs w:val="32"/>
          <w:lang w:val="en-US" w:eastAsia="zh-CN"/>
        </w:rPr>
        <w:t>结合高新区龙头企业知识产权发展需求，大力实施专利导航工程，绘制一批重点产业企业专利技术创新导航路径图，促进专利数据情报分析应用与产业企业运行决策持续互动、深度融合。充分落实财政资金保障，引导部门专项经费投入，加快自主知识产权创造保护效率，探索形成专利导航引领创新发展的“柳东经验”。</w:t>
      </w:r>
      <w:r>
        <w:rPr>
          <w:rFonts w:hint="default" w:ascii="Times New Roman" w:hAnsi="Times New Roman" w:eastAsia="仿宋_GB2312" w:cs="Times New Roman"/>
          <w:b w:val="0"/>
          <w:bCs w:val="0"/>
          <w:color w:val="auto"/>
          <w:kern w:val="0"/>
          <w:sz w:val="32"/>
          <w:szCs w:val="32"/>
          <w:lang w:val="en-US" w:eastAsia="zh-CN" w:bidi="ar"/>
        </w:rPr>
        <w:t>（</w:t>
      </w:r>
      <w:r>
        <w:rPr>
          <w:rFonts w:hint="default" w:ascii="Times New Roman" w:hAnsi="Times New Roman" w:eastAsia="仿宋_GB2312" w:cs="Times New Roman"/>
          <w:b w:val="0"/>
          <w:bCs w:val="0"/>
          <w:color w:val="auto"/>
          <w:sz w:val="32"/>
          <w:szCs w:val="32"/>
          <w:lang w:val="en-US" w:eastAsia="zh-CN"/>
        </w:rPr>
        <w:t>责任部门：柳州市市场监督管理局柳东新区分局，战略和经济发展局、工业和信息化局、科技和大数据发展局、财政局）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2.</w:t>
      </w:r>
      <w:r>
        <w:rPr>
          <w:rFonts w:hint="eastAsia" w:ascii="Times New Roman" w:hAnsi="Times New Roman" w:eastAsia="仿宋_GB2312"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lang w:val="en-US" w:eastAsia="zh-CN"/>
        </w:rPr>
        <w:t>分类实施产业企业专利导航项目。紧扣高新区优势特色产业、重点企业高质量发展需求实际，组织实施产业规划类和企业运营类专利导航项目。立足产业发展现状，开展“</w:t>
      </w:r>
      <w:r>
        <w:rPr>
          <w:rFonts w:hint="default" w:ascii="Times New Roman" w:hAnsi="Times New Roman" w:eastAsia="仿宋_GB2312" w:cs="Times New Roman"/>
          <w:b w:val="0"/>
          <w:bCs w:val="0"/>
          <w:color w:val="auto"/>
          <w:kern w:val="0"/>
          <w:sz w:val="32"/>
          <w:szCs w:val="32"/>
          <w:lang w:val="en-US" w:eastAsia="zh-CN" w:bidi="ar"/>
        </w:rPr>
        <w:t>一业一导航</w:t>
      </w:r>
      <w:r>
        <w:rPr>
          <w:rFonts w:hint="default" w:ascii="Times New Roman" w:hAnsi="Times New Roman" w:eastAsia="仿宋_GB2312" w:cs="Times New Roman"/>
          <w:b w:val="0"/>
          <w:bCs w:val="0"/>
          <w:color w:val="auto"/>
          <w:sz w:val="32"/>
          <w:szCs w:val="32"/>
          <w:lang w:val="en-US" w:eastAsia="zh-CN"/>
        </w:rPr>
        <w:t>”，精准定位产业创新发展方向、关键核心技术和创新突破路径，形成创新驱动发展与专利技术布局分析报告，为高新区党工委、管委会科技创新、技术转移、合作研发、招商引资、人才引进等重大规划和决策部署，提供知识产权战略引导和支撑。破解企业创新瓶颈，开展“企业微导航”，提升</w:t>
      </w:r>
      <w:r>
        <w:rPr>
          <w:rFonts w:hint="default" w:ascii="Times New Roman" w:hAnsi="Times New Roman" w:eastAsia="仿宋_GB2312" w:cs="Times New Roman"/>
          <w:b w:val="0"/>
          <w:bCs w:val="0"/>
          <w:color w:val="auto"/>
          <w:kern w:val="0"/>
          <w:sz w:val="32"/>
          <w:szCs w:val="32"/>
          <w:lang w:val="en-US" w:eastAsia="zh-CN" w:bidi="ar"/>
        </w:rPr>
        <w:t>企业专利创造与运用谋篇布局，形成包括国内外行业核心技术专利布局情况、行业创新发展趋势、竞争对手专利技术情况、研发空白领域、专利布局规划建议和知识产权保护风险预警等在内的分析报告,作为专利导航产业规划的有机衔接和补充，助力企业知识产权运营最优化路径选择，为企业核心专利技术保护和海外知识产权布局提供战略决策和技术支撑。（</w:t>
      </w:r>
      <w:r>
        <w:rPr>
          <w:rFonts w:hint="default" w:ascii="Times New Roman" w:hAnsi="Times New Roman" w:eastAsia="仿宋_GB2312" w:cs="Times New Roman"/>
          <w:b w:val="0"/>
          <w:bCs w:val="0"/>
          <w:color w:val="auto"/>
          <w:sz w:val="32"/>
          <w:szCs w:val="32"/>
          <w:lang w:val="en-US" w:eastAsia="zh-CN"/>
        </w:rPr>
        <w:t>责任部门：柳州市市场监督管理局柳东新区分局，战略和经济发展局、工业和信息化局、科技和大数据发展局、财政局</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商贸文化旅游局，社会事务局、投资促进局）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3.</w:t>
      </w:r>
      <w:r>
        <w:rPr>
          <w:rFonts w:hint="eastAsia" w:ascii="Times New Roman" w:hAnsi="Times New Roman" w:eastAsia="仿宋_GB2312"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lang w:val="en-US" w:eastAsia="zh-CN"/>
        </w:rPr>
        <w:t>释放专利导航助推高质量发展动能。</w:t>
      </w:r>
      <w:r>
        <w:rPr>
          <w:rFonts w:hint="default" w:ascii="Times New Roman" w:hAnsi="Times New Roman" w:eastAsia="仿宋_GB2312" w:cs="Times New Roman"/>
          <w:b w:val="0"/>
          <w:bCs w:val="0"/>
          <w:color w:val="auto"/>
          <w:kern w:val="0"/>
          <w:sz w:val="32"/>
          <w:szCs w:val="32"/>
          <w:lang w:val="en-US" w:eastAsia="zh-CN" w:bidi="ar"/>
        </w:rPr>
        <w:t>以专利导航项目成果为基础，强化“政企研服”联合联动，加快技术攻关，加速创新突破，</w:t>
      </w:r>
      <w:r>
        <w:rPr>
          <w:rFonts w:hint="default" w:ascii="Times New Roman" w:hAnsi="Times New Roman" w:eastAsia="仿宋_GB2312" w:cs="Times New Roman"/>
          <w:b w:val="0"/>
          <w:bCs w:val="0"/>
          <w:color w:val="auto"/>
          <w:sz w:val="32"/>
          <w:szCs w:val="32"/>
          <w:lang w:val="en-US" w:eastAsia="zh-CN"/>
        </w:rPr>
        <w:t>不断提升高新区优势特色产业和专利密集型企业发明创造、技术创新源动力，</w:t>
      </w:r>
      <w:r>
        <w:rPr>
          <w:rFonts w:hint="default" w:ascii="Times New Roman" w:hAnsi="Times New Roman" w:eastAsia="仿宋_GB2312" w:cs="Times New Roman"/>
          <w:b w:val="0"/>
          <w:bCs w:val="0"/>
          <w:color w:val="auto"/>
          <w:kern w:val="0"/>
          <w:sz w:val="32"/>
          <w:szCs w:val="32"/>
          <w:lang w:val="en-US" w:eastAsia="zh-CN" w:bidi="ar"/>
        </w:rPr>
        <w:t>挖掘培育一批高价值核心专利、专利组合和海外同族专利，引进落地一批对高新区优势特色产业、重点企业创新创造具有重要价值的专利技术，推动促进一批科研专利成果转移转化，投向市场。充分释放专利导航助力优势特色产业企业创新输出、提高核心竞争力、实现高质量发展的引领支撑功效。（</w:t>
      </w:r>
      <w:r>
        <w:rPr>
          <w:rFonts w:hint="default" w:ascii="Times New Roman" w:hAnsi="Times New Roman" w:eastAsia="仿宋_GB2312" w:cs="Times New Roman"/>
          <w:b w:val="0"/>
          <w:bCs w:val="0"/>
          <w:color w:val="auto"/>
          <w:sz w:val="32"/>
          <w:szCs w:val="32"/>
          <w:lang w:val="en-US" w:eastAsia="zh-CN"/>
        </w:rPr>
        <w:t>责任部门：柳州市市场监督管理局柳东新区分局，战略和经济发展局、工业和信息化局、科技和大数据发展局）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40" w:firstLineChars="200"/>
        <w:jc w:val="both"/>
        <w:textAlignment w:val="auto"/>
        <w:outlineLvl w:val="9"/>
        <w:rPr>
          <w:rFonts w:hint="default" w:ascii="Times New Roman" w:hAnsi="Times New Roman" w:eastAsia="仿宋_GB2312" w:cs="Times New Roman"/>
          <w:b w:val="0"/>
          <w:bCs w:val="0"/>
          <w:color w:val="auto"/>
          <w:kern w:val="0"/>
          <w:sz w:val="32"/>
          <w:szCs w:val="32"/>
          <w:lang w:val="en-US" w:eastAsia="zh-CN" w:bidi="ar"/>
        </w:rPr>
      </w:pPr>
      <w:r>
        <w:rPr>
          <w:rFonts w:hint="default" w:ascii="Times New Roman" w:hAnsi="Times New Roman" w:eastAsia="仿宋_GB2312" w:cs="Times New Roman"/>
          <w:b w:val="0"/>
          <w:bCs w:val="0"/>
          <w:color w:val="auto"/>
          <w:sz w:val="32"/>
          <w:szCs w:val="32"/>
          <w:lang w:val="en-US" w:eastAsia="zh-CN"/>
        </w:rPr>
        <w:t>4.</w:t>
      </w:r>
      <w:r>
        <w:rPr>
          <w:rFonts w:hint="eastAsia" w:ascii="Times New Roman" w:hAnsi="Times New Roman" w:eastAsia="仿宋_GB2312"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lang w:val="en-US" w:eastAsia="zh-CN"/>
        </w:rPr>
        <w:t>激活专利交易市场提高运用效率。</w:t>
      </w:r>
      <w:r>
        <w:rPr>
          <w:rFonts w:hint="default" w:ascii="Times New Roman" w:hAnsi="Times New Roman" w:eastAsia="仿宋_GB2312" w:cs="Times New Roman"/>
          <w:b w:val="0"/>
          <w:bCs w:val="0"/>
          <w:color w:val="auto"/>
          <w:kern w:val="0"/>
          <w:sz w:val="32"/>
          <w:szCs w:val="32"/>
          <w:lang w:val="en-US" w:eastAsia="zh-CN" w:bidi="ar"/>
        </w:rPr>
        <w:t>在抓好专利技术引进和培育的基础上，完善园区“科技大市场”区域专利交易功能，提升智能化、专业化、精细化服务水平，有效撮合技术供需。同时立足国家双创示范基地大力促进融通创新，探索创新专利转移转化合作模式，引导专利持有方与高新区中小企业以资源互补、风险共担、利益共享为导向，合作投资（技术入股）、共同管理和推进高价值专利的开发应用，加快知识产权市场化进程。在专利持有方同意并授权的基础上，探索在试点园区面向中小企业推荐一批现阶段难以直接变现但有市场开发价值的专利技术，在企业成功开发应用后按约返还专利使用费用（先用后转）。（</w:t>
      </w:r>
      <w:r>
        <w:rPr>
          <w:rFonts w:hint="default" w:ascii="Times New Roman" w:hAnsi="Times New Roman" w:eastAsia="仿宋_GB2312" w:cs="Times New Roman"/>
          <w:b w:val="0"/>
          <w:bCs w:val="0"/>
          <w:color w:val="auto"/>
          <w:sz w:val="32"/>
          <w:szCs w:val="32"/>
          <w:lang w:val="en-US" w:eastAsia="zh-CN"/>
        </w:rPr>
        <w:t>责任部门：柳州市市场监督管理局柳东新区分局，战略和经济发展局、工业和信息化局、科技和大数据发展局）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40" w:firstLineChars="200"/>
        <w:jc w:val="both"/>
        <w:textAlignment w:val="auto"/>
        <w:outlineLvl w:val="9"/>
        <w:rPr>
          <w:rFonts w:hint="default" w:ascii="Times New Roman" w:hAnsi="Times New Roman" w:eastAsia="仿宋_GB2312" w:cs="Times New Roman"/>
          <w:b w:val="0"/>
          <w:bCs w:val="0"/>
          <w:color w:val="auto"/>
          <w:kern w:val="0"/>
          <w:sz w:val="32"/>
          <w:szCs w:val="32"/>
          <w:lang w:val="en-US" w:eastAsia="zh-CN" w:bidi="ar"/>
        </w:rPr>
      </w:pPr>
      <w:r>
        <w:rPr>
          <w:rFonts w:hint="default" w:ascii="楷体_GB2312" w:hAnsi="楷体_GB2312" w:eastAsia="楷体_GB2312" w:cs="楷体_GB2312"/>
          <w:b w:val="0"/>
          <w:bCs w:val="0"/>
          <w:color w:val="auto"/>
          <w:sz w:val="32"/>
          <w:szCs w:val="32"/>
          <w:lang w:val="en-US" w:eastAsia="zh-CN"/>
        </w:rPr>
        <w:t>（六）高层次壮大知识产权人才队伍，夯实工业创新保障</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1.</w:t>
      </w:r>
      <w:r>
        <w:rPr>
          <w:rFonts w:hint="eastAsia" w:ascii="Times New Roman" w:hAnsi="Times New Roman" w:eastAsia="仿宋_GB2312"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lang w:val="en-US" w:eastAsia="zh-CN"/>
        </w:rPr>
        <w:t>增强知识产权人才培养供给能力。把知识产权人才培养、引进纳入高新区人才战略，引领全市培育统一开放的高层次知识产权人才市场体系，集聚知识产权高精尖人才。大力开展广西知识产权领军人才、中青年专家、实用人才遴选工作，鼓励支持园区知识产权领域人才参加国家知识产权高层次人才评选。面向各级企业技术中心和工程研发中心，实施知识产权人才培育提升专项行动。鼓励支持有条件的高等学校、职业教育机构开设知识产权课程或专业，探索高等学校、企业、科研院所联合培育模式，培养行业所需的知识产权人才。打造适应高新区高质量发展需求的知识产权智库，完善知识产权人才供需对接，提升满足经济社会发展需求的知识产权人才供给。将知识产权教育作为学生素质教育的重要内容，鼓励引导学生开展发明创造，推进中小学知识产权教育试点工作。（责任部门：柳州市市场监督管理局柳东新区分局，工业和信息化局、教育局、科技和大数据发展局、人力资源和社会保障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2.</w:t>
      </w:r>
      <w:r>
        <w:rPr>
          <w:rFonts w:hint="eastAsia" w:ascii="Times New Roman" w:hAnsi="Times New Roman" w:eastAsia="仿宋_GB2312"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lang w:val="en-US" w:eastAsia="zh-CN"/>
        </w:rPr>
        <w:t>升级知识产权行政管理人才队伍。全面提高知识产权公共治理和服务能力。通过着力加强学习、培训、经验交流等，切实提升高新区知识产权相关部门行政管理人员监管和执法业务工作能力水平。加强知识产权教育培训，进一步强化党政领导干部抓知识产权工作的政治意识和业务素养。建立知识产权行政管理部门和司法部门学习交流机制，提高知识产权行政管理人员法治意识、业务能力和服务水平，打造适应新发展阶段提高知识产权治理能力和治理水平要求的干部队伍。〔责任部门（单位）：柳州市市场监督管理局柳东新区分局，法规处、柳州市公安局柳东分局、人力资源和社会保障局、社会事务局、党群工作部、社会综合治理办公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40" w:firstLineChars="200"/>
        <w:jc w:val="both"/>
        <w:textAlignment w:val="auto"/>
        <w:outlineLvl w:val="9"/>
        <w:rPr>
          <w:rFonts w:hint="default" w:ascii="楷体_GB2312" w:hAnsi="楷体_GB2312" w:eastAsia="楷体_GB2312" w:cs="楷体_GB2312"/>
          <w:b w:val="0"/>
          <w:bCs w:val="0"/>
          <w:color w:val="auto"/>
          <w:sz w:val="32"/>
          <w:szCs w:val="32"/>
          <w:lang w:val="en-US" w:eastAsia="zh-CN"/>
        </w:rPr>
      </w:pPr>
      <w:r>
        <w:rPr>
          <w:rFonts w:hint="default" w:ascii="楷体_GB2312" w:hAnsi="楷体_GB2312" w:eastAsia="楷体_GB2312" w:cs="楷体_GB2312"/>
          <w:b w:val="0"/>
          <w:bCs w:val="0"/>
          <w:color w:val="auto"/>
          <w:sz w:val="32"/>
          <w:szCs w:val="32"/>
          <w:lang w:val="en-US" w:eastAsia="zh-CN"/>
        </w:rPr>
        <w:t>（七）高站位加强知识产权文化建设，营造创新争先氛围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1.</w:t>
      </w:r>
      <w:r>
        <w:rPr>
          <w:rFonts w:hint="eastAsia" w:ascii="Times New Roman" w:hAnsi="Times New Roman" w:eastAsia="仿宋_GB2312"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lang w:val="en-US" w:eastAsia="zh-CN"/>
        </w:rPr>
        <w:t>大力弘扬党领导下的知识产权事业发展成就。更广泛、更深入学习贯彻宣传习近平总书记关于知识产权工作系列重要论述、指示和讲话精神；充分利用世界知识产权日、全国知识产权宣传周、广西发明展等重要纪念日、活动周和重大活动契机，大力宣传党中央、国务院和自治区关于知识产权工作的重大方针、政策，广泛弘扬高新区知识产权事业发展新成就、新亮点，生动讲好园区知识产权故事，不断提升知识产权工作社会知晓度、满意度和认同感。〔责任部门（单位）：柳州市市场监督管理局柳东新区分局，法规处、战略和经济发展局、工业和信息化局、教育局、科技和大数据发展局、柳州市公安局柳东分局、社会事务局、商贸文化旅游局、党群工作部、社会综合治理办公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2.</w:t>
      </w:r>
      <w:r>
        <w:rPr>
          <w:rFonts w:hint="eastAsia" w:ascii="Times New Roman" w:hAnsi="Times New Roman" w:eastAsia="仿宋_GB2312"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lang w:val="en-US" w:eastAsia="zh-CN"/>
        </w:rPr>
        <w:t>巩固提升全社会知识产权文化意识。大力弘扬“尊重知识、崇尚创新、诚信守法”的知识产权文化，拓展知识产权宣传渠道，丰富知识产权宣传载体，创新知识产权宣传模式，大力推动知识产权文化进企业、进社区、进课堂、进新媒体，不断增强高新区各界知识产权意识。进一步加强知识产权法制教育和普法宣传，强化对下一代知识产权意识的教育培养，为全市全面实施知识产权强市战略、开展国家知识产权强市建设试点城市建设奠定人文基础，营造社会氛围。〔责任部门（单位）：柳州市市场监督管理局柳东新区分局，法规处、战略和经济发展局、工业和信息化局、教育局、科技和大数据发展局、柳州市公安局柳东分局、社会事务局、商贸文化旅游局、党群工作部、社会综合治理办公室〕</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right="0" w:rightChars="0" w:firstLine="640" w:firstLineChars="200"/>
        <w:jc w:val="both"/>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保障措施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40" w:firstLineChars="200"/>
        <w:jc w:val="both"/>
        <w:textAlignment w:val="auto"/>
        <w:outlineLvl w:val="9"/>
        <w:rPr>
          <w:rFonts w:hint="default" w:ascii="楷体_GB2312" w:hAnsi="楷体_GB2312" w:eastAsia="楷体_GB2312" w:cs="楷体_GB2312"/>
          <w:b w:val="0"/>
          <w:bCs w:val="0"/>
          <w:color w:val="auto"/>
          <w:sz w:val="32"/>
          <w:szCs w:val="32"/>
          <w:lang w:val="en-US" w:eastAsia="zh-CN"/>
        </w:rPr>
      </w:pPr>
      <w:r>
        <w:rPr>
          <w:rFonts w:hint="default" w:ascii="楷体_GB2312" w:hAnsi="楷体_GB2312" w:eastAsia="楷体_GB2312" w:cs="楷体_GB2312"/>
          <w:b w:val="0"/>
          <w:bCs w:val="0"/>
          <w:color w:val="auto"/>
          <w:sz w:val="32"/>
          <w:szCs w:val="32"/>
          <w:lang w:val="en-US" w:eastAsia="zh-CN"/>
        </w:rPr>
        <w:t>（一）强化组织领导</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outlineLvl w:val="9"/>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color w:val="auto"/>
          <w:sz w:val="32"/>
          <w:szCs w:val="32"/>
          <w:lang w:eastAsia="zh-CN"/>
        </w:rPr>
        <w:t>夯实完善</w:t>
      </w:r>
      <w:r>
        <w:rPr>
          <w:rFonts w:hint="default" w:ascii="Times New Roman" w:hAnsi="Times New Roman" w:eastAsia="仿宋_GB2312" w:cs="Times New Roman"/>
          <w:b w:val="0"/>
          <w:bCs w:val="0"/>
          <w:sz w:val="32"/>
          <w:szCs w:val="32"/>
          <w:highlight w:val="none"/>
          <w:lang w:val="en-US" w:eastAsia="zh-CN"/>
        </w:rPr>
        <w:t>柳州高新区实施知识产权强区战略领导小组</w:t>
      </w:r>
      <w:r>
        <w:rPr>
          <w:rFonts w:hint="default" w:ascii="Times New Roman" w:hAnsi="Times New Roman" w:eastAsia="仿宋_GB2312" w:cs="Times New Roman"/>
          <w:b w:val="0"/>
          <w:bCs w:val="0"/>
          <w:color w:val="auto"/>
          <w:sz w:val="32"/>
          <w:szCs w:val="32"/>
          <w:lang w:eastAsia="zh-CN"/>
        </w:rPr>
        <w:t>运行机制，不断强化领导小组对</w:t>
      </w:r>
      <w:r>
        <w:rPr>
          <w:rFonts w:hint="default" w:ascii="Times New Roman" w:hAnsi="Times New Roman" w:eastAsia="仿宋_GB2312" w:cs="Times New Roman"/>
          <w:b w:val="0"/>
          <w:bCs w:val="0"/>
          <w:color w:val="auto"/>
          <w:sz w:val="32"/>
          <w:szCs w:val="32"/>
          <w:lang w:val="en-US" w:eastAsia="zh-CN"/>
        </w:rPr>
        <w:t>高新区</w:t>
      </w:r>
      <w:r>
        <w:rPr>
          <w:rFonts w:hint="default" w:ascii="Times New Roman" w:hAnsi="Times New Roman" w:eastAsia="仿宋_GB2312" w:cs="Times New Roman"/>
          <w:b w:val="0"/>
          <w:bCs w:val="0"/>
          <w:color w:val="auto"/>
          <w:sz w:val="32"/>
          <w:szCs w:val="32"/>
          <w:lang w:eastAsia="zh-CN"/>
        </w:rPr>
        <w:t>国家</w:t>
      </w:r>
      <w:r>
        <w:rPr>
          <w:rFonts w:hint="default" w:ascii="Times New Roman" w:hAnsi="Times New Roman" w:eastAsia="仿宋_GB2312" w:cs="Times New Roman"/>
          <w:b w:val="0"/>
          <w:bCs w:val="0"/>
          <w:color w:val="auto"/>
          <w:sz w:val="32"/>
          <w:szCs w:val="32"/>
          <w:lang w:val="en-US" w:eastAsia="zh-CN"/>
        </w:rPr>
        <w:t>级</w:t>
      </w:r>
      <w:r>
        <w:rPr>
          <w:rFonts w:hint="default" w:ascii="Times New Roman" w:hAnsi="Times New Roman" w:eastAsia="仿宋_GB2312" w:cs="Times New Roman"/>
          <w:b w:val="0"/>
          <w:bCs w:val="0"/>
          <w:color w:val="auto"/>
          <w:sz w:val="32"/>
          <w:szCs w:val="32"/>
          <w:lang w:eastAsia="zh-CN"/>
        </w:rPr>
        <w:t>知识产权</w:t>
      </w:r>
      <w:r>
        <w:rPr>
          <w:rFonts w:hint="default" w:ascii="Times New Roman" w:hAnsi="Times New Roman" w:eastAsia="仿宋_GB2312" w:cs="Times New Roman"/>
          <w:b w:val="0"/>
          <w:bCs w:val="0"/>
          <w:color w:val="auto"/>
          <w:sz w:val="32"/>
          <w:szCs w:val="32"/>
          <w:lang w:val="en-US" w:eastAsia="zh-CN"/>
        </w:rPr>
        <w:t>强国</w:t>
      </w:r>
      <w:r>
        <w:rPr>
          <w:rFonts w:hint="default" w:ascii="Times New Roman" w:hAnsi="Times New Roman" w:eastAsia="仿宋_GB2312" w:cs="Times New Roman"/>
          <w:b w:val="0"/>
          <w:bCs w:val="0"/>
          <w:color w:val="auto"/>
          <w:sz w:val="32"/>
          <w:szCs w:val="32"/>
          <w:lang w:eastAsia="zh-CN"/>
        </w:rPr>
        <w:t>建设试点</w:t>
      </w:r>
      <w:r>
        <w:rPr>
          <w:rFonts w:hint="default" w:ascii="Times New Roman" w:hAnsi="Times New Roman" w:eastAsia="仿宋_GB2312" w:cs="Times New Roman"/>
          <w:b w:val="0"/>
          <w:bCs w:val="0"/>
          <w:color w:val="auto"/>
          <w:sz w:val="32"/>
          <w:szCs w:val="32"/>
          <w:lang w:val="en-US" w:eastAsia="zh-CN"/>
        </w:rPr>
        <w:t>园区</w:t>
      </w:r>
      <w:r>
        <w:rPr>
          <w:rFonts w:hint="default" w:ascii="Times New Roman" w:hAnsi="Times New Roman" w:eastAsia="仿宋_GB2312" w:cs="Times New Roman"/>
          <w:b w:val="0"/>
          <w:bCs w:val="0"/>
          <w:color w:val="auto"/>
          <w:sz w:val="32"/>
          <w:szCs w:val="32"/>
          <w:lang w:eastAsia="zh-CN"/>
        </w:rPr>
        <w:t>建设工作的组织领导和统筹协调。定期召开全体会议和专题会议，研究决策、总结分析试点建设过程中需要出台的重要政策、出现的突</w:t>
      </w:r>
      <w:r>
        <w:rPr>
          <w:rFonts w:hint="default" w:ascii="Times New Roman" w:hAnsi="Times New Roman" w:eastAsia="仿宋_GB2312" w:cs="Times New Roman"/>
          <w:b w:val="0"/>
          <w:bCs w:val="0"/>
          <w:color w:val="auto"/>
          <w:sz w:val="32"/>
          <w:szCs w:val="32"/>
          <w:highlight w:val="none"/>
          <w:lang w:eastAsia="zh-CN"/>
        </w:rPr>
        <w:t>发情</w:t>
      </w:r>
      <w:r>
        <w:rPr>
          <w:rFonts w:hint="default" w:ascii="Times New Roman" w:hAnsi="Times New Roman" w:eastAsia="仿宋_GB2312" w:cs="Times New Roman"/>
          <w:b w:val="0"/>
          <w:bCs w:val="0"/>
          <w:color w:val="auto"/>
          <w:sz w:val="32"/>
          <w:szCs w:val="32"/>
          <w:lang w:eastAsia="zh-CN"/>
        </w:rPr>
        <w:t>况和重点问题、成效经验和不足。领导小组各成员单位要切实履行责任分工，制定专项方案，落实专人专岗负责，密切配合、互通信息、共同推进、形成合力，不断提高工作执行力和效率。严格贯彻落实高新区</w:t>
      </w:r>
      <w:r>
        <w:rPr>
          <w:rFonts w:hint="default" w:ascii="Times New Roman" w:hAnsi="Times New Roman" w:eastAsia="仿宋_GB2312" w:cs="Times New Roman"/>
          <w:b w:val="0"/>
          <w:bCs w:val="0"/>
          <w:color w:val="auto"/>
          <w:sz w:val="32"/>
          <w:szCs w:val="32"/>
          <w:lang w:val="en-US" w:eastAsia="zh-CN"/>
        </w:rPr>
        <w:t>管委会</w:t>
      </w:r>
      <w:r>
        <w:rPr>
          <w:rFonts w:hint="default" w:ascii="Times New Roman" w:hAnsi="Times New Roman" w:eastAsia="仿宋_GB2312" w:cs="Times New Roman"/>
          <w:b w:val="0"/>
          <w:bCs w:val="0"/>
          <w:color w:val="auto"/>
          <w:sz w:val="32"/>
          <w:szCs w:val="32"/>
          <w:lang w:eastAsia="zh-CN"/>
        </w:rPr>
        <w:t>领导组织机制，研究制定相应的工作方案或行动计划，把试点建设工作纳入</w:t>
      </w:r>
      <w:r>
        <w:rPr>
          <w:rFonts w:hint="default" w:ascii="Times New Roman" w:hAnsi="Times New Roman" w:eastAsia="仿宋_GB2312" w:cs="Times New Roman"/>
          <w:b w:val="0"/>
          <w:bCs w:val="0"/>
          <w:color w:val="auto"/>
          <w:sz w:val="32"/>
          <w:szCs w:val="32"/>
          <w:lang w:val="en-US" w:eastAsia="zh-CN"/>
        </w:rPr>
        <w:t>园区高质量</w:t>
      </w:r>
      <w:r>
        <w:rPr>
          <w:rFonts w:hint="default" w:ascii="Times New Roman" w:hAnsi="Times New Roman" w:eastAsia="仿宋_GB2312" w:cs="Times New Roman"/>
          <w:b w:val="0"/>
          <w:bCs w:val="0"/>
          <w:color w:val="auto"/>
          <w:sz w:val="32"/>
          <w:szCs w:val="32"/>
          <w:lang w:eastAsia="zh-CN"/>
        </w:rPr>
        <w:t>发展全局统筹，列入重要议事日程，认真组织实施。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40" w:firstLineChars="200"/>
        <w:jc w:val="both"/>
        <w:textAlignment w:val="auto"/>
        <w:outlineLvl w:val="9"/>
        <w:rPr>
          <w:rFonts w:hint="default" w:ascii="楷体_GB2312" w:hAnsi="楷体_GB2312" w:eastAsia="楷体_GB2312" w:cs="楷体_GB2312"/>
          <w:b w:val="0"/>
          <w:bCs w:val="0"/>
          <w:color w:val="auto"/>
          <w:sz w:val="32"/>
          <w:szCs w:val="32"/>
          <w:lang w:val="en-US" w:eastAsia="zh-CN"/>
        </w:rPr>
      </w:pPr>
      <w:r>
        <w:rPr>
          <w:rFonts w:hint="default" w:ascii="楷体_GB2312" w:hAnsi="楷体_GB2312" w:eastAsia="楷体_GB2312" w:cs="楷体_GB2312"/>
          <w:b w:val="0"/>
          <w:bCs w:val="0"/>
          <w:color w:val="auto"/>
          <w:sz w:val="32"/>
          <w:szCs w:val="32"/>
          <w:lang w:val="en-US" w:eastAsia="zh-CN"/>
        </w:rPr>
        <w:t>（二）落实资金保障</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按照国家级知识产权强国建设试点园区建设工作要求，进一步落实财政资金保障，建立与试点建设发展相适应的知识产权专项经费稳定增长机制。加大对知识产权保护和维权援助工作的投入，重点强化专项资金对高价值专利培育、高质量知识产权服务和专利导航等工作保障。通过优化完善知识产权政策资金使用，激发创新主体创新活力，引导企业加大创新投入，鼓励社会资本参与知识产权全链条质量服务提升，形成多元化知识产权资金保障体系。</w:t>
      </w:r>
      <w:r>
        <w:rPr>
          <w:rFonts w:hint="default" w:ascii="Times New Roman" w:hAnsi="Times New Roman" w:eastAsia="仿宋_GB2312" w:cs="Times New Roman"/>
          <w:b w:val="0"/>
          <w:bCs w:val="0"/>
          <w:color w:val="auto"/>
          <w:sz w:val="32"/>
          <w:szCs w:val="32"/>
          <w:lang w:val="en-US" w:eastAsia="zh-CN"/>
        </w:rPr>
        <w:t>将</w:t>
      </w:r>
      <w:r>
        <w:rPr>
          <w:rFonts w:hint="default" w:ascii="Times New Roman" w:hAnsi="Times New Roman" w:eastAsia="仿宋_GB2312" w:cs="Times New Roman"/>
          <w:b w:val="0"/>
          <w:bCs w:val="0"/>
          <w:color w:val="auto"/>
          <w:sz w:val="32"/>
          <w:szCs w:val="32"/>
          <w:lang w:eastAsia="zh-CN"/>
        </w:rPr>
        <w:t>知识产权保护和促进经费纳入本级财政预算，确保试点建设工作稳步有效推进。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40" w:firstLineChars="200"/>
        <w:jc w:val="both"/>
        <w:textAlignment w:val="auto"/>
        <w:outlineLvl w:val="9"/>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（三）严格督查考核</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仿宋_GB2312" w:cs="Times New Roman"/>
          <w:b w:val="0"/>
          <w:bCs w:val="0"/>
          <w:sz w:val="32"/>
          <w:szCs w:val="32"/>
          <w:lang w:val="en-US" w:eastAsia="zh-CN"/>
        </w:rPr>
        <w:t>柳州市市场监督管理局柳东新区分局牵头组织，围绕国家级知识产权强国建设试点园区工作总体目标的实现，进一步强化对具体目标推进情况的跟踪指导和量化指标的督查考核，把试点建设任务目标与“</w:t>
      </w:r>
      <w:bookmarkStart w:id="0" w:name="_GoBack"/>
      <w:r>
        <w:rPr>
          <w:rFonts w:hint="eastAsia" w:eastAsia="仿宋_GB2312" w:cs="Times New Roman"/>
          <w:b w:val="0"/>
          <w:bCs w:val="0"/>
          <w:sz w:val="32"/>
          <w:szCs w:val="32"/>
          <w:lang w:val="en-US" w:eastAsia="zh-CN"/>
        </w:rPr>
        <w:t>“十四五”</w:t>
      </w:r>
      <w:bookmarkEnd w:id="0"/>
      <w:r>
        <w:rPr>
          <w:rFonts w:hint="default" w:ascii="Times New Roman" w:hAnsi="Times New Roman" w:eastAsia="仿宋_GB2312" w:cs="Times New Roman"/>
          <w:b w:val="0"/>
          <w:bCs w:val="0"/>
          <w:sz w:val="32"/>
          <w:szCs w:val="32"/>
          <w:lang w:val="en-US" w:eastAsia="zh-CN"/>
        </w:rPr>
        <w:t>”发展指标相衔接，把年度量化指标与重点工作任务相统一；各责任部门（单位）要严格落实考核责任制，加强沟通，把试点建设工作任务与职能业务紧密结合，在政策制定、措施执行、经验总结和工作考核等方面，形成齐抓共管、扎实有效的试点建设工作合力。</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楷体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楷体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楷体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楷体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楷体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楷体_GB2312" w:cs="Times New Roman"/>
          <w:sz w:val="32"/>
          <w:szCs w:val="32"/>
        </w:rPr>
      </w:pPr>
    </w:p>
    <w:p>
      <w:pPr>
        <w:spacing w:line="400" w:lineRule="exact"/>
        <w:ind w:firstLine="280" w:firstLineChars="100"/>
        <w:rPr>
          <w:rFonts w:ascii="黑体" w:hAnsi="黑体" w:eastAsia="黑体"/>
          <w:sz w:val="32"/>
          <w:szCs w:val="32"/>
        </w:rPr>
      </w:pPr>
      <w:r>
        <w:rPr>
          <w:rFonts w:hint="eastAsia" w:ascii="黑体" w:hAnsi="黑体" w:eastAsia="黑体"/>
          <w:sz w:val="28"/>
          <w:szCs w:val="28"/>
        </w:rPr>
        <w:t>公开方式：</w:t>
      </w:r>
      <w:r>
        <w:rPr>
          <w:rFonts w:hint="eastAsia" w:ascii="宋体" w:hAnsi="宋体"/>
          <w:sz w:val="28"/>
          <w:szCs w:val="28"/>
        </w:rPr>
        <w:t>主动公开</w:t>
      </w:r>
    </w:p>
    <w:p>
      <w:pPr>
        <w:pBdr>
          <w:top w:val="single" w:color="auto" w:sz="6" w:space="1"/>
          <w:bottom w:val="single" w:color="auto" w:sz="6" w:space="1"/>
        </w:pBdr>
        <w:spacing w:line="480" w:lineRule="exact"/>
        <w:ind w:firstLine="280" w:firstLineChars="100"/>
        <w:rPr>
          <w:rFonts w:eastAsia="仿宋_GB2312"/>
          <w:sz w:val="28"/>
          <w:szCs w:val="28"/>
        </w:rPr>
      </w:pPr>
      <w:r>
        <w:rPr>
          <w:rFonts w:hint="eastAsia" w:eastAsia="仿宋_GB2312"/>
          <w:sz w:val="28"/>
          <w:szCs w:val="28"/>
        </w:rPr>
        <w:t>柳州高新区管委会办公室</w:t>
      </w:r>
      <w:r>
        <w:rPr>
          <w:rFonts w:eastAsia="仿宋_GB2312"/>
          <w:sz w:val="28"/>
          <w:szCs w:val="28"/>
        </w:rPr>
        <w:t xml:space="preserve">                20</w:t>
      </w:r>
      <w:r>
        <w:rPr>
          <w:rFonts w:hint="eastAsia" w:eastAsia="仿宋_GB2312"/>
          <w:sz w:val="28"/>
          <w:szCs w:val="28"/>
          <w:lang w:val="en-US" w:eastAsia="zh-CN"/>
        </w:rPr>
        <w:t>22</w:t>
      </w:r>
      <w:r>
        <w:rPr>
          <w:rFonts w:hint="eastAsia" w:eastAsia="仿宋_GB2312"/>
          <w:sz w:val="28"/>
          <w:szCs w:val="28"/>
        </w:rPr>
        <w:t>年</w:t>
      </w:r>
      <w:r>
        <w:rPr>
          <w:rFonts w:hint="eastAsia" w:eastAsia="仿宋_GB2312"/>
          <w:sz w:val="28"/>
          <w:szCs w:val="28"/>
          <w:lang w:val="en-US" w:eastAsia="zh-CN"/>
        </w:rPr>
        <w:t>10</w:t>
      </w:r>
      <w:r>
        <w:rPr>
          <w:rFonts w:hint="eastAsia" w:eastAsia="仿宋_GB2312"/>
          <w:sz w:val="28"/>
          <w:szCs w:val="28"/>
        </w:rPr>
        <w:t>月</w:t>
      </w:r>
      <w:r>
        <w:rPr>
          <w:rFonts w:hint="eastAsia" w:eastAsia="仿宋_GB2312"/>
          <w:sz w:val="28"/>
          <w:szCs w:val="28"/>
          <w:lang w:val="en-US" w:eastAsia="zh-CN"/>
        </w:rPr>
        <w:t>28</w:t>
      </w:r>
      <w:r>
        <w:rPr>
          <w:rFonts w:hint="eastAsia" w:eastAsia="仿宋_GB2312"/>
          <w:sz w:val="28"/>
          <w:szCs w:val="28"/>
        </w:rPr>
        <w:t>日印发</w:t>
      </w:r>
    </w:p>
    <w:sectPr>
      <w:footerReference r:id="rId3" w:type="default"/>
      <w:footerReference r:id="rId4" w:type="even"/>
      <w:pgSz w:w="11906" w:h="16838"/>
      <w:pgMar w:top="1985" w:right="1588" w:bottom="1985" w:left="1588" w:header="851" w:footer="170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auto"/>
    <w:pitch w:val="default"/>
    <w:sig w:usb0="E00002FF" w:usb1="400004FF" w:usb2="00000000"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right="210" w:rightChars="100"/>
      <w:rPr>
        <w:rStyle w:val="9"/>
        <w:sz w:val="28"/>
        <w:szCs w:val="28"/>
      </w:rPr>
    </w:pPr>
    <w:r>
      <w:rPr>
        <w:rStyle w:val="9"/>
        <w:sz w:val="28"/>
        <w:szCs w:val="28"/>
      </w:rPr>
      <w:t xml:space="preserve">— </w:t>
    </w:r>
    <w:r>
      <w:rPr>
        <w:rStyle w:val="9"/>
        <w:rFonts w:ascii="Times New Roman" w:hAnsi="Times New Roman"/>
        <w:sz w:val="28"/>
        <w:szCs w:val="28"/>
      </w:rPr>
      <w:fldChar w:fldCharType="begin"/>
    </w:r>
    <w:r>
      <w:rPr>
        <w:rStyle w:val="9"/>
        <w:rFonts w:ascii="Times New Roman" w:hAnsi="Times New Roman"/>
        <w:sz w:val="28"/>
        <w:szCs w:val="28"/>
      </w:rPr>
      <w:instrText xml:space="preserve">PAGE  </w:instrText>
    </w:r>
    <w:r>
      <w:rPr>
        <w:rStyle w:val="9"/>
        <w:rFonts w:ascii="Times New Roman" w:hAnsi="Times New Roman"/>
        <w:sz w:val="28"/>
        <w:szCs w:val="28"/>
      </w:rPr>
      <w:fldChar w:fldCharType="separate"/>
    </w:r>
    <w:r>
      <w:rPr>
        <w:rStyle w:val="9"/>
        <w:rFonts w:ascii="Times New Roman" w:hAnsi="Times New Roman"/>
        <w:sz w:val="28"/>
        <w:szCs w:val="28"/>
      </w:rPr>
      <w:t>1</w:t>
    </w:r>
    <w:r>
      <w:rPr>
        <w:rStyle w:val="9"/>
        <w:rFonts w:ascii="Times New Roman" w:hAnsi="Times New Roman"/>
        <w:sz w:val="28"/>
        <w:szCs w:val="28"/>
      </w:rPr>
      <w:fldChar w:fldCharType="end"/>
    </w:r>
    <w:r>
      <w:rPr>
        <w:rStyle w:val="9"/>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210" w:leftChars="100"/>
      <w:rPr>
        <w:rStyle w:val="9"/>
        <w:sz w:val="28"/>
        <w:szCs w:val="28"/>
      </w:rPr>
    </w:pPr>
    <w:r>
      <w:rPr>
        <w:rStyle w:val="9"/>
        <w:sz w:val="28"/>
        <w:szCs w:val="28"/>
      </w:rPr>
      <w:t xml:space="preserve">— </w:t>
    </w:r>
    <w:r>
      <w:rPr>
        <w:rStyle w:val="9"/>
        <w:sz w:val="28"/>
        <w:szCs w:val="28"/>
      </w:rPr>
      <w:fldChar w:fldCharType="begin"/>
    </w:r>
    <w:r>
      <w:rPr>
        <w:rStyle w:val="9"/>
        <w:sz w:val="28"/>
        <w:szCs w:val="28"/>
      </w:rPr>
      <w:instrText xml:space="preserve">PAGE  </w:instrText>
    </w:r>
    <w:r>
      <w:rPr>
        <w:rStyle w:val="9"/>
        <w:sz w:val="28"/>
        <w:szCs w:val="28"/>
      </w:rPr>
      <w:fldChar w:fldCharType="separate"/>
    </w:r>
    <w:r>
      <w:rPr>
        <w:rStyle w:val="9"/>
        <w:sz w:val="28"/>
        <w:szCs w:val="28"/>
      </w:rPr>
      <w:t>10</w:t>
    </w:r>
    <w:r>
      <w:rPr>
        <w:rStyle w:val="9"/>
        <w:sz w:val="28"/>
        <w:szCs w:val="28"/>
      </w:rPr>
      <w:fldChar w:fldCharType="end"/>
    </w:r>
    <w:r>
      <w:rPr>
        <w:rStyle w:val="9"/>
        <w:sz w:val="28"/>
        <w:szCs w:val="28"/>
      </w:rPr>
      <w:t xml:space="preserve"> —</w:t>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A5CA13"/>
    <w:multiLevelType w:val="singleLevel"/>
    <w:tmpl w:val="60A5CA13"/>
    <w:lvl w:ilvl="0" w:tentative="0">
      <w:start w:val="3"/>
      <w:numFmt w:val="chineseCounting"/>
      <w:suff w:val="nothing"/>
      <w:lvlText w:val="%1、"/>
      <w:lvlJc w:val="left"/>
    </w:lvl>
  </w:abstractNum>
  <w:abstractNum w:abstractNumId="1">
    <w:nsid w:val="65243610"/>
    <w:multiLevelType w:val="singleLevel"/>
    <w:tmpl w:val="65243610"/>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5NmNkODRhYzUzMTRjMDBkNTE5MzVlNGVlZDc2ODcifQ=="/>
  </w:docVars>
  <w:rsids>
    <w:rsidRoot w:val="007B7B08"/>
    <w:rsid w:val="00060B95"/>
    <w:rsid w:val="00061E34"/>
    <w:rsid w:val="000E76BF"/>
    <w:rsid w:val="0017561C"/>
    <w:rsid w:val="001F5584"/>
    <w:rsid w:val="00275C5E"/>
    <w:rsid w:val="00316D33"/>
    <w:rsid w:val="00337D0B"/>
    <w:rsid w:val="00391C24"/>
    <w:rsid w:val="003E2C84"/>
    <w:rsid w:val="004922FB"/>
    <w:rsid w:val="004A7A6F"/>
    <w:rsid w:val="004B6F3F"/>
    <w:rsid w:val="004C6A1C"/>
    <w:rsid w:val="005304EF"/>
    <w:rsid w:val="005B7E02"/>
    <w:rsid w:val="0060087A"/>
    <w:rsid w:val="006569F3"/>
    <w:rsid w:val="006746A9"/>
    <w:rsid w:val="0069534B"/>
    <w:rsid w:val="00696AAC"/>
    <w:rsid w:val="006D1A05"/>
    <w:rsid w:val="00735E59"/>
    <w:rsid w:val="00770197"/>
    <w:rsid w:val="007B7B08"/>
    <w:rsid w:val="007C4781"/>
    <w:rsid w:val="007F2FE8"/>
    <w:rsid w:val="008333E0"/>
    <w:rsid w:val="008F2C7E"/>
    <w:rsid w:val="0094736B"/>
    <w:rsid w:val="00A16938"/>
    <w:rsid w:val="00A5107C"/>
    <w:rsid w:val="00AA62B5"/>
    <w:rsid w:val="00AF2249"/>
    <w:rsid w:val="00C4730B"/>
    <w:rsid w:val="00D653F0"/>
    <w:rsid w:val="00DB6841"/>
    <w:rsid w:val="00F1247E"/>
    <w:rsid w:val="00F357C8"/>
    <w:rsid w:val="0B5E6919"/>
    <w:rsid w:val="11663318"/>
    <w:rsid w:val="20FA66C9"/>
    <w:rsid w:val="23645AFC"/>
    <w:rsid w:val="275D05A9"/>
    <w:rsid w:val="2E275189"/>
    <w:rsid w:val="388B759A"/>
    <w:rsid w:val="39BB4924"/>
    <w:rsid w:val="3AFF718A"/>
    <w:rsid w:val="3BF12BDC"/>
    <w:rsid w:val="44BB295C"/>
    <w:rsid w:val="45CE0155"/>
    <w:rsid w:val="473235C1"/>
    <w:rsid w:val="59D47F92"/>
    <w:rsid w:val="5A955FE8"/>
    <w:rsid w:val="5D183AB0"/>
    <w:rsid w:val="611A2587"/>
    <w:rsid w:val="63255767"/>
    <w:rsid w:val="68E20170"/>
    <w:rsid w:val="6D0942FA"/>
    <w:rsid w:val="74B55F96"/>
    <w:rsid w:val="773B6A83"/>
    <w:rsid w:val="7DC77A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
    <w:qFormat/>
    <w:uiPriority w:val="0"/>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uiPriority w:val="99"/>
    <w:rPr>
      <w:rFonts w:cs="Times New Roman"/>
    </w:rPr>
  </w:style>
  <w:style w:type="character" w:customStyle="1" w:styleId="10">
    <w:name w:val="页眉 Char"/>
    <w:basedOn w:val="8"/>
    <w:link w:val="5"/>
    <w:semiHidden/>
    <w:qFormat/>
    <w:uiPriority w:val="99"/>
    <w:rPr>
      <w:sz w:val="18"/>
      <w:szCs w:val="18"/>
    </w:rPr>
  </w:style>
  <w:style w:type="character" w:customStyle="1" w:styleId="11">
    <w:name w:val="页脚 Char"/>
    <w:basedOn w:val="8"/>
    <w:link w:val="4"/>
    <w:semiHidden/>
    <w:qFormat/>
    <w:uiPriority w:val="99"/>
    <w:rPr>
      <w:sz w:val="18"/>
      <w:szCs w:val="18"/>
    </w:rPr>
  </w:style>
  <w:style w:type="character" w:customStyle="1" w:styleId="12">
    <w:name w:val="标题 1 Char"/>
    <w:basedOn w:val="8"/>
    <w:link w:val="2"/>
    <w:qFormat/>
    <w:uiPriority w:val="0"/>
    <w:rPr>
      <w:rFonts w:ascii="宋体" w:hAnsi="宋体" w:eastAsia="宋体" w:cs="宋体"/>
      <w:b/>
      <w:bCs/>
      <w:kern w:val="36"/>
      <w:sz w:val="48"/>
      <w:szCs w:val="48"/>
    </w:rPr>
  </w:style>
  <w:style w:type="character" w:customStyle="1" w:styleId="13">
    <w:name w:val="font41"/>
    <w:basedOn w:val="8"/>
    <w:qFormat/>
    <w:uiPriority w:val="0"/>
    <w:rPr>
      <w:rFonts w:hint="eastAsia" w:ascii="宋体" w:hAnsi="宋体" w:eastAsia="宋体" w:cs="宋体"/>
      <w:color w:val="000000"/>
      <w:sz w:val="32"/>
      <w:szCs w:val="32"/>
      <w:u w:val="none"/>
    </w:rPr>
  </w:style>
  <w:style w:type="character" w:customStyle="1" w:styleId="14">
    <w:name w:val="font11"/>
    <w:basedOn w:val="8"/>
    <w:qFormat/>
    <w:uiPriority w:val="0"/>
    <w:rPr>
      <w:rFonts w:ascii="Calibri" w:hAnsi="Calibri" w:cs="Calibri"/>
      <w:color w:val="000000"/>
      <w:sz w:val="32"/>
      <w:szCs w:val="3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11838</Words>
  <Characters>11986</Characters>
  <Lines>13</Lines>
  <Paragraphs>3</Paragraphs>
  <TotalTime>17</TotalTime>
  <ScaleCrop>false</ScaleCrop>
  <LinksUpToDate>false</LinksUpToDate>
  <CharactersWithSpaces>12074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2018-12-21T01:56:00Z</dcterms:created>
  <dc:creator>张阳</dc:creator>
  <cp:lastModifiedBy>admin</cp:lastModifiedBy>
  <cp:lastPrinted>2022-10-28T00:55:00Z</cp:lastPrinted>
  <dcterms:modified xsi:type="dcterms:W3CDTF">2022-11-01T01:32:24Z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3C1EB3D053E848E599EFFBBFA217082B</vt:lpwstr>
  </property>
</Properties>
</file>