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jc w:val="left"/>
        <w:rPr>
          <w:rFonts w:hint="eastAsia" w:ascii="黑体" w:hAnsi="黑体" w:eastAsia="黑体" w:cs="黑体"/>
          <w:b/>
          <w:bCs/>
          <w:color w:val="auto"/>
          <w:sz w:val="32"/>
          <w:szCs w:val="21"/>
          <w:lang w:bidi="ar-SA"/>
        </w:rPr>
      </w:pPr>
      <w:r>
        <w:rPr>
          <w:rFonts w:hint="eastAsia" w:ascii="黑体" w:hAnsi="黑体" w:eastAsia="黑体" w:cs="黑体"/>
          <w:b/>
          <w:bCs/>
          <w:color w:val="auto"/>
          <w:sz w:val="32"/>
          <w:szCs w:val="21"/>
          <w:lang w:bidi="ar-SA"/>
        </w:rPr>
        <w:t>附件1</w:t>
      </w:r>
    </w:p>
    <w:p>
      <w:pPr>
        <w:spacing w:line="560" w:lineRule="exact"/>
        <w:jc w:val="center"/>
        <w:rPr>
          <w:rFonts w:hint="eastAsia" w:ascii="方正小标宋简体" w:hAnsi="新宋体" w:eastAsia="方正小标宋简体"/>
          <w:color w:val="auto"/>
          <w:spacing w:val="-6"/>
          <w:sz w:val="44"/>
          <w:szCs w:val="44"/>
        </w:rPr>
      </w:pPr>
      <w:bookmarkStart w:id="0" w:name="_GoBack"/>
      <w:r>
        <w:rPr>
          <w:rFonts w:hint="eastAsia" w:ascii="方正小标宋简体" w:hAnsi="新宋体" w:eastAsia="方正小标宋简体"/>
          <w:color w:val="auto"/>
          <w:spacing w:val="-6"/>
          <w:sz w:val="44"/>
          <w:szCs w:val="44"/>
          <w:lang w:val="en-US" w:eastAsia="zh-CN"/>
        </w:rPr>
        <w:t>柳东新区</w:t>
      </w:r>
      <w:r>
        <w:rPr>
          <w:rFonts w:hint="eastAsia" w:ascii="方正小标宋简体" w:hAnsi="新宋体" w:eastAsia="方正小标宋简体"/>
          <w:color w:val="auto"/>
          <w:spacing w:val="-6"/>
          <w:sz w:val="44"/>
          <w:szCs w:val="44"/>
        </w:rPr>
        <w:t>激励企业加大研发经费投入实施暂行办法</w:t>
      </w:r>
      <w:bookmarkEnd w:id="0"/>
    </w:p>
    <w:p>
      <w:pPr>
        <w:pStyle w:val="2"/>
        <w:adjustRightInd w:val="0"/>
        <w:spacing w:before="156" w:beforeLines="50" w:after="156" w:afterLines="50" w:line="560" w:lineRule="exact"/>
        <w:jc w:val="center"/>
        <w:outlineLvl w:val="0"/>
        <w:rPr>
          <w:rFonts w:hint="eastAsia" w:ascii="黑体" w:hAnsi="黑体" w:eastAsia="黑体" w:cs="Times New Roman"/>
          <w:color w:val="auto"/>
          <w:szCs w:val="32"/>
          <w:lang w:eastAsia="zh-CN"/>
        </w:rPr>
      </w:pPr>
      <w:r>
        <w:rPr>
          <w:rFonts w:hint="eastAsia" w:ascii="黑体" w:hAnsi="黑体" w:eastAsia="黑体" w:cs="Times New Roman"/>
          <w:color w:val="auto"/>
          <w:szCs w:val="32"/>
          <w:lang w:eastAsia="zh-CN"/>
        </w:rPr>
        <w:t>（征求意见稿）</w:t>
      </w:r>
    </w:p>
    <w:p>
      <w:pPr>
        <w:pStyle w:val="2"/>
        <w:adjustRightInd w:val="0"/>
        <w:spacing w:before="156" w:beforeLines="50" w:after="156" w:afterLines="50" w:line="560" w:lineRule="exact"/>
        <w:jc w:val="center"/>
        <w:outlineLvl w:val="0"/>
        <w:rPr>
          <w:rFonts w:hint="eastAsia" w:ascii="黑体" w:hAnsi="黑体" w:eastAsia="黑体" w:cs="Times New Roman"/>
          <w:color w:val="auto"/>
          <w:szCs w:val="32"/>
        </w:rPr>
      </w:pPr>
      <w:r>
        <w:rPr>
          <w:rFonts w:hint="eastAsia" w:ascii="黑体" w:hAnsi="黑体" w:eastAsia="黑体" w:cs="Times New Roman"/>
          <w:color w:val="auto"/>
          <w:szCs w:val="32"/>
        </w:rPr>
        <w:t>第一章 总则</w:t>
      </w:r>
    </w:p>
    <w:p>
      <w:pPr>
        <w:pStyle w:val="2"/>
        <w:adjustRightInd w:val="0"/>
        <w:snapToGrid w:val="0"/>
        <w:spacing w:line="560" w:lineRule="exact"/>
        <w:ind w:firstLine="616" w:firstLineChars="200"/>
        <w:rPr>
          <w:rFonts w:hint="eastAsia" w:ascii="仿宋_GB2312" w:hAnsi="仿宋_GB2312" w:eastAsia="仿宋_GB2312" w:cs="仿宋_GB2312"/>
          <w:color w:val="auto"/>
          <w:spacing w:val="-6"/>
          <w:kern w:val="2"/>
          <w:sz w:val="32"/>
          <w:szCs w:val="32"/>
          <w:lang w:val="en-US" w:eastAsia="zh-CN" w:bidi="ar-SA"/>
        </w:rPr>
      </w:pPr>
      <w:r>
        <w:rPr>
          <w:rFonts w:hint="eastAsia" w:ascii="仿宋_GB2312" w:hAnsi="仿宋_GB2312" w:cs="仿宋_GB2312"/>
          <w:color w:val="auto"/>
          <w:spacing w:val="-6"/>
          <w:szCs w:val="32"/>
        </w:rPr>
        <w:t xml:space="preserve">第一条 </w:t>
      </w:r>
      <w:r>
        <w:rPr>
          <w:rFonts w:hint="eastAsia" w:ascii="仿宋_GB2312" w:hAnsi="仿宋_GB2312" w:eastAsia="仿宋_GB2312" w:cs="仿宋_GB2312"/>
          <w:color w:val="auto"/>
          <w:spacing w:val="-6"/>
          <w:kern w:val="2"/>
          <w:sz w:val="32"/>
          <w:szCs w:val="32"/>
          <w:lang w:val="en-US" w:eastAsia="zh-CN" w:bidi="ar-SA"/>
        </w:rPr>
        <w:t>为强化企业创新主体地位，激发企业自主创新活力，培育壮大“3+3+1”产业，推动柳东新区工业高质量发展和国家高新区建设，根据《广西壮族自治区人民政府关于促进全社会加大研发经费投入的实施意见》（桂政发〔2018〕25号）、《中共柳州市柳东新区工作委员会柳州市柳东新区管理委员会关于印发〈柳东新区推进工业高质量发展实施方案〉的通知》（柳东发〔2018〕43号）《广西壮族自治区人民政府关于促进全社会加大研发经费投入的实施意见》（桂政发〔2018〕25号）等文件精神，结合柳东新区实际，制定本专项。</w:t>
      </w:r>
    </w:p>
    <w:p>
      <w:pPr>
        <w:pStyle w:val="2"/>
        <w:adjustRightInd w:val="0"/>
        <w:snapToGrid w:val="0"/>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 xml:space="preserve">第二条 </w:t>
      </w:r>
      <w:r>
        <w:rPr>
          <w:rFonts w:hint="eastAsia" w:ascii="仿宋_GB2312" w:hAnsi="仿宋_GB2312" w:cs="仿宋_GB2312"/>
          <w:color w:val="auto"/>
          <w:szCs w:val="32"/>
          <w:lang w:val="en-US" w:eastAsia="zh-CN"/>
        </w:rPr>
        <w:t>新区</w:t>
      </w:r>
      <w:r>
        <w:rPr>
          <w:rFonts w:hint="eastAsia" w:ascii="仿宋_GB2312" w:hAnsi="仿宋_GB2312" w:cs="仿宋_GB2312"/>
          <w:color w:val="auto"/>
          <w:spacing w:val="-4"/>
          <w:szCs w:val="32"/>
        </w:rPr>
        <w:t>从</w:t>
      </w:r>
      <w:r>
        <w:rPr>
          <w:rFonts w:hint="eastAsia" w:ascii="仿宋_GB2312" w:hAnsi="仿宋_GB2312" w:cs="仿宋_GB2312"/>
          <w:color w:val="auto"/>
          <w:szCs w:val="32"/>
        </w:rPr>
        <w:t>本级</w:t>
      </w:r>
      <w:r>
        <w:rPr>
          <w:rFonts w:hint="eastAsia" w:ascii="仿宋_GB2312" w:hAnsi="仿宋_GB2312" w:cs="仿宋_GB2312"/>
          <w:color w:val="auto"/>
          <w:spacing w:val="-4"/>
          <w:szCs w:val="32"/>
        </w:rPr>
        <w:t>应用技术研究与开发经费</w:t>
      </w:r>
      <w:r>
        <w:rPr>
          <w:rFonts w:hint="eastAsia" w:ascii="仿宋_GB2312" w:hAnsi="仿宋_GB2312" w:cs="仿宋_GB2312"/>
          <w:color w:val="auto"/>
          <w:szCs w:val="32"/>
        </w:rPr>
        <w:t>中安排专项资金</w:t>
      </w:r>
      <w:r>
        <w:rPr>
          <w:rStyle w:val="5"/>
          <w:rFonts w:hint="eastAsia" w:ascii="仿宋_GB2312" w:hAnsi="仿宋_GB2312" w:cs="仿宋_GB2312"/>
          <w:color w:val="auto"/>
          <w:sz w:val="32"/>
          <w:szCs w:val="32"/>
          <w:lang w:bidi="th-TH"/>
        </w:rPr>
        <w:t>，</w:t>
      </w:r>
      <w:r>
        <w:rPr>
          <w:rFonts w:hint="eastAsia" w:ascii="仿宋_GB2312" w:hAnsi="仿宋_GB2312" w:cs="仿宋_GB2312"/>
          <w:color w:val="auto"/>
          <w:szCs w:val="32"/>
        </w:rPr>
        <w:t>对企业先期投入</w:t>
      </w:r>
      <w:r>
        <w:rPr>
          <w:rFonts w:hint="eastAsia" w:ascii="仿宋_GB2312" w:hAnsi="仿宋_GB2312" w:cs="仿宋_GB2312"/>
          <w:color w:val="auto"/>
          <w:spacing w:val="-6"/>
          <w:szCs w:val="32"/>
        </w:rPr>
        <w:t>的</w:t>
      </w:r>
      <w:r>
        <w:rPr>
          <w:rFonts w:hint="eastAsia" w:ascii="仿宋_GB2312" w:hAnsi="仿宋_GB2312" w:cs="仿宋_GB2312"/>
          <w:color w:val="auto"/>
          <w:szCs w:val="32"/>
        </w:rPr>
        <w:t>自主研发经费活动给予奖励性后补助</w:t>
      </w:r>
      <w:r>
        <w:rPr>
          <w:rFonts w:hint="eastAsia" w:ascii="仿宋_GB2312" w:hAnsi="仿宋_GB2312" w:cs="仿宋_GB2312"/>
          <w:color w:val="auto"/>
          <w:szCs w:val="32"/>
          <w:lang w:bidi="th-TH"/>
        </w:rPr>
        <w:t>（以下简称奖补）</w:t>
      </w:r>
      <w:r>
        <w:rPr>
          <w:rStyle w:val="5"/>
          <w:rFonts w:hint="eastAsia" w:ascii="仿宋_GB2312" w:hAnsi="仿宋_GB2312" w:cs="仿宋_GB2312"/>
          <w:color w:val="auto"/>
          <w:sz w:val="32"/>
          <w:szCs w:val="32"/>
          <w:lang w:bidi="th-TH"/>
        </w:rPr>
        <w:t>，</w:t>
      </w:r>
      <w:r>
        <w:rPr>
          <w:rFonts w:hint="eastAsia" w:ascii="仿宋_GB2312" w:hAnsi="仿宋_GB2312" w:cs="仿宋_GB2312"/>
          <w:color w:val="auto"/>
          <w:szCs w:val="32"/>
        </w:rPr>
        <w:t>支持企业开展研发活动。</w:t>
      </w:r>
    </w:p>
    <w:p>
      <w:pPr>
        <w:pStyle w:val="2"/>
        <w:adjustRightInd w:val="0"/>
        <w:snapToGrid w:val="0"/>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第三条 本办法所称企业上一年度自主研发经费支出额，是指企业上一年度自主投入开展研发活动</w:t>
      </w:r>
      <w:r>
        <w:rPr>
          <w:rFonts w:hint="eastAsia" w:ascii="仿宋_GB2312" w:hAnsi="仿宋_GB2312" w:cs="仿宋_GB2312"/>
          <w:color w:val="auto"/>
          <w:spacing w:val="-6"/>
          <w:szCs w:val="32"/>
        </w:rPr>
        <w:t>并享受研发费用税前加计扣除优惠政策的研发经费支出数额，不包含来自各级政府部门的科技活动资金</w:t>
      </w:r>
      <w:r>
        <w:rPr>
          <w:rFonts w:hint="eastAsia" w:ascii="仿宋_GB2312" w:hAnsi="仿宋_GB2312" w:cs="仿宋_GB2312"/>
          <w:color w:val="auto"/>
          <w:szCs w:val="32"/>
        </w:rPr>
        <w:t>。本办法所称企业上一年度自主</w:t>
      </w:r>
      <w:r>
        <w:rPr>
          <w:rFonts w:hint="eastAsia" w:ascii="仿宋_GB2312" w:hAnsi="仿宋_GB2312" w:cs="仿宋_GB2312"/>
          <w:color w:val="auto"/>
          <w:spacing w:val="-6"/>
          <w:szCs w:val="32"/>
        </w:rPr>
        <w:t>研发经费增长额，是指</w:t>
      </w:r>
      <w:r>
        <w:rPr>
          <w:rFonts w:hint="eastAsia" w:ascii="仿宋_GB2312" w:hAnsi="仿宋_GB2312" w:cs="仿宋_GB2312"/>
          <w:color w:val="auto"/>
          <w:szCs w:val="32"/>
        </w:rPr>
        <w:t>企业上一年度自主</w:t>
      </w:r>
      <w:r>
        <w:rPr>
          <w:rFonts w:hint="eastAsia" w:ascii="仿宋_GB2312" w:hAnsi="仿宋_GB2312" w:cs="仿宋_GB2312"/>
          <w:color w:val="auto"/>
          <w:spacing w:val="-6"/>
          <w:szCs w:val="32"/>
        </w:rPr>
        <w:t>研发经费支出额比其前一年度</w:t>
      </w:r>
      <w:r>
        <w:rPr>
          <w:rFonts w:hint="eastAsia" w:ascii="仿宋_GB2312" w:hAnsi="仿宋_GB2312" w:cs="仿宋_GB2312"/>
          <w:color w:val="auto"/>
          <w:szCs w:val="32"/>
        </w:rPr>
        <w:t>自主</w:t>
      </w:r>
      <w:r>
        <w:rPr>
          <w:rFonts w:hint="eastAsia" w:ascii="仿宋_GB2312" w:hAnsi="仿宋_GB2312" w:cs="仿宋_GB2312"/>
          <w:color w:val="auto"/>
          <w:spacing w:val="-6"/>
          <w:szCs w:val="32"/>
        </w:rPr>
        <w:t>研发经费支出额增长的数额。</w:t>
      </w:r>
    </w:p>
    <w:p>
      <w:pPr>
        <w:pStyle w:val="2"/>
        <w:adjustRightInd w:val="0"/>
        <w:snapToGrid w:val="0"/>
        <w:spacing w:line="560" w:lineRule="exact"/>
        <w:ind w:firstLine="645"/>
        <w:rPr>
          <w:rFonts w:hint="eastAsia" w:ascii="仿宋_GB2312" w:hAnsi="仿宋_GB2312" w:cs="仿宋_GB2312"/>
          <w:color w:val="auto"/>
          <w:spacing w:val="-6"/>
          <w:szCs w:val="32"/>
        </w:rPr>
      </w:pPr>
      <w:r>
        <w:rPr>
          <w:rFonts w:hint="eastAsia" w:ascii="仿宋_GB2312" w:hAnsi="仿宋_GB2312" w:cs="仿宋_GB2312"/>
          <w:color w:val="auto"/>
          <w:spacing w:val="-6"/>
          <w:szCs w:val="32"/>
        </w:rPr>
        <w:t>第四条 本办法所称瞪羚企业是指获得自治区级及以上部门批准入库登记的瞪羚企业，高新技术企业是指经全国高新技术企业认定管理工作领导小组办公室公示并备案的高新技术企业，科技型中小企业是指经自治区级及以上部门发文批准入库的科技型中小企业。</w:t>
      </w:r>
    </w:p>
    <w:p>
      <w:pPr>
        <w:pStyle w:val="2"/>
        <w:adjustRightInd w:val="0"/>
        <w:spacing w:before="156" w:beforeLines="50" w:after="156" w:afterLines="50" w:line="560" w:lineRule="exact"/>
        <w:jc w:val="center"/>
        <w:outlineLvl w:val="0"/>
        <w:rPr>
          <w:rFonts w:hint="eastAsia" w:ascii="黑体" w:hAnsi="黑体" w:eastAsia="黑体" w:cs="Times New Roman"/>
          <w:color w:val="auto"/>
          <w:szCs w:val="32"/>
        </w:rPr>
      </w:pPr>
      <w:r>
        <w:rPr>
          <w:rFonts w:hint="eastAsia" w:ascii="黑体" w:hAnsi="黑体" w:eastAsia="黑体" w:cs="Times New Roman"/>
          <w:color w:val="auto"/>
          <w:szCs w:val="32"/>
        </w:rPr>
        <w:t>第二章 奖补对象与方式</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第五条 本办法的奖补对象须同时具备以下条件：</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（一）在柳东新区行政区域内设立、登记、注册、纳税并具有独立法人资格、健全的财务管理机构和财务管理制度，诚信经营、依法纳税的的企业</w:t>
      </w:r>
      <w:r>
        <w:rPr>
          <w:rFonts w:hint="eastAsia" w:ascii="仿宋_GB2312" w:eastAsia="仿宋_GB2312" w:cs="仿宋_GB2312"/>
          <w:sz w:val="28"/>
          <w:szCs w:val="28"/>
        </w:rPr>
        <w:t>；</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（二）有自主研发经费投入和研发活动，且研发经费在企业所得税汇算清缴申报期结束之日止已向税务部门进行纳税申报并享受了</w:t>
      </w:r>
      <w:r>
        <w:rPr>
          <w:rFonts w:hint="eastAsia" w:ascii="仿宋_GB2312" w:hAnsi="仿宋_GB2312" w:cs="仿宋_GB2312"/>
          <w:color w:val="auto"/>
          <w:spacing w:val="-6"/>
          <w:szCs w:val="32"/>
        </w:rPr>
        <w:t>研发费用</w:t>
      </w:r>
      <w:r>
        <w:rPr>
          <w:rFonts w:hint="eastAsia" w:ascii="仿宋_GB2312" w:hAnsi="仿宋_GB2312" w:cs="仿宋_GB2312"/>
          <w:color w:val="auto"/>
          <w:szCs w:val="32"/>
        </w:rPr>
        <w:t>税前加计扣除的企业。</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pacing w:val="-6"/>
          <w:szCs w:val="32"/>
        </w:rPr>
        <w:t xml:space="preserve">第六条 </w:t>
      </w:r>
      <w:r>
        <w:rPr>
          <w:rFonts w:hint="eastAsia" w:ascii="仿宋_GB2312" w:hAnsi="仿宋_GB2312" w:cs="仿宋_GB2312"/>
          <w:color w:val="auto"/>
          <w:szCs w:val="32"/>
        </w:rPr>
        <w:t>奖补资金</w:t>
      </w:r>
      <w:r>
        <w:rPr>
          <w:rFonts w:hint="eastAsia" w:ascii="仿宋_GB2312" w:hAnsi="仿宋_GB2312" w:cs="仿宋_GB2312"/>
          <w:color w:val="auto"/>
          <w:spacing w:val="-6"/>
          <w:szCs w:val="32"/>
        </w:rPr>
        <w:t>采取一次性拨付经费的方式，</w:t>
      </w:r>
      <w:r>
        <w:rPr>
          <w:rFonts w:hint="eastAsia" w:ascii="仿宋_GB2312" w:hAnsi="仿宋_GB2312" w:cs="仿宋_GB2312"/>
          <w:bCs/>
          <w:color w:val="auto"/>
          <w:szCs w:val="32"/>
        </w:rPr>
        <w:t>由企业统筹用于科研活动支出，</w:t>
      </w:r>
      <w:r>
        <w:rPr>
          <w:rFonts w:hint="eastAsia" w:ascii="仿宋_GB2312" w:hAnsi="仿宋_GB2312" w:cs="仿宋_GB2312"/>
          <w:color w:val="auto"/>
          <w:szCs w:val="32"/>
        </w:rPr>
        <w:t>无须签订项目合同书</w:t>
      </w:r>
      <w:r>
        <w:rPr>
          <w:rFonts w:hint="eastAsia" w:ascii="仿宋_GB2312" w:hAnsi="仿宋_GB2312" w:cs="仿宋_GB2312"/>
          <w:color w:val="auto"/>
          <w:spacing w:val="-6"/>
          <w:szCs w:val="32"/>
        </w:rPr>
        <w:t>。</w:t>
      </w:r>
    </w:p>
    <w:p>
      <w:pPr>
        <w:pStyle w:val="2"/>
        <w:keepNext w:val="0"/>
        <w:keepLines w:val="0"/>
        <w:pageBreakBefore w:val="0"/>
        <w:widowControl w:val="0"/>
        <w:kinsoku/>
        <w:wordWrap/>
        <w:overflowPunct/>
        <w:topLinePunct w:val="0"/>
        <w:autoSpaceDE/>
        <w:autoSpaceDN/>
        <w:bidi w:val="0"/>
        <w:adjustRightInd w:val="0"/>
        <w:snapToGrid w:val="0"/>
        <w:spacing w:before="156" w:beforeLines="50" w:after="156" w:afterLines="50" w:line="500" w:lineRule="exact"/>
        <w:jc w:val="center"/>
        <w:textAlignment w:val="auto"/>
        <w:outlineLvl w:val="0"/>
        <w:rPr>
          <w:rFonts w:hint="eastAsia" w:ascii="黑体" w:hAnsi="黑体" w:eastAsia="黑体" w:cs="Times New Roman"/>
          <w:color w:val="auto"/>
          <w:szCs w:val="32"/>
        </w:rPr>
      </w:pPr>
      <w:r>
        <w:rPr>
          <w:rFonts w:hint="eastAsia" w:ascii="黑体" w:hAnsi="黑体" w:eastAsia="黑体" w:cs="Times New Roman"/>
          <w:color w:val="auto"/>
          <w:szCs w:val="32"/>
        </w:rPr>
        <w:t>第三章 奖补标准</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pacing w:val="-6"/>
          <w:szCs w:val="32"/>
        </w:rPr>
        <w:t>第七条</w:t>
      </w:r>
      <w:r>
        <w:rPr>
          <w:rFonts w:hint="eastAsia" w:ascii="仿宋_GB2312" w:hAnsi="仿宋_GB2312" w:cs="仿宋_GB2312"/>
          <w:color w:val="auto"/>
          <w:szCs w:val="32"/>
        </w:rPr>
        <w:t xml:space="preserve"> 奖补</w:t>
      </w:r>
      <w:r>
        <w:rPr>
          <w:rFonts w:hint="eastAsia" w:ascii="仿宋_GB2312" w:hAnsi="仿宋_GB2312" w:cs="仿宋_GB2312"/>
          <w:color w:val="auto"/>
          <w:spacing w:val="-6"/>
          <w:szCs w:val="32"/>
        </w:rPr>
        <w:t>由基础</w:t>
      </w:r>
      <w:r>
        <w:rPr>
          <w:rFonts w:hint="eastAsia" w:ascii="仿宋_GB2312" w:hAnsi="仿宋_GB2312" w:cs="仿宋_GB2312"/>
          <w:color w:val="auto"/>
          <w:szCs w:val="32"/>
        </w:rPr>
        <w:t>奖补</w:t>
      </w:r>
      <w:r>
        <w:rPr>
          <w:rFonts w:hint="eastAsia" w:ascii="仿宋_GB2312" w:hAnsi="仿宋_GB2312" w:cs="仿宋_GB2312"/>
          <w:color w:val="auto"/>
          <w:spacing w:val="-6"/>
          <w:szCs w:val="32"/>
        </w:rPr>
        <w:t>和增量</w:t>
      </w:r>
      <w:r>
        <w:rPr>
          <w:rFonts w:hint="eastAsia" w:ascii="仿宋_GB2312" w:hAnsi="仿宋_GB2312" w:cs="仿宋_GB2312"/>
          <w:color w:val="auto"/>
          <w:szCs w:val="32"/>
        </w:rPr>
        <w:t>奖补两部分组成</w:t>
      </w:r>
      <w:r>
        <w:rPr>
          <w:rFonts w:hint="eastAsia" w:ascii="仿宋_GB2312" w:hAnsi="仿宋_GB2312" w:cs="仿宋_GB2312"/>
          <w:color w:val="auto"/>
          <w:spacing w:val="-6"/>
          <w:szCs w:val="32"/>
        </w:rPr>
        <w:t>，基础奖补优先保障，</w:t>
      </w:r>
      <w:r>
        <w:rPr>
          <w:rFonts w:hint="eastAsia" w:ascii="仿宋_GB2312" w:hAnsi="仿宋_GB2312" w:cs="仿宋_GB2312"/>
          <w:color w:val="auto"/>
          <w:szCs w:val="32"/>
        </w:rPr>
        <w:t>具体标准如下：</w:t>
      </w:r>
    </w:p>
    <w:p>
      <w:pPr>
        <w:pStyle w:val="2"/>
        <w:adjustRightInd w:val="0"/>
        <w:snapToGrid w:val="0"/>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（一）基础奖补</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按企业上一年度自主研发经费支出额分段核算、累计奖补。企业上一年度自主研发经费支出额不超过1000万元（含）的部分，按支出额的</w:t>
      </w:r>
      <w:r>
        <w:rPr>
          <w:rFonts w:hint="eastAsia" w:ascii="仿宋_GB2312" w:hAnsi="仿宋_GB2312" w:cs="仿宋_GB2312"/>
          <w:color w:val="0000FF"/>
          <w:szCs w:val="32"/>
          <w:lang w:val="en-US" w:eastAsia="zh-CN"/>
        </w:rPr>
        <w:t>2%</w:t>
      </w:r>
      <w:r>
        <w:rPr>
          <w:rFonts w:hint="eastAsia" w:ascii="仿宋_GB2312" w:hAnsi="仿宋_GB2312" w:cs="仿宋_GB2312"/>
          <w:color w:val="auto"/>
          <w:szCs w:val="32"/>
        </w:rPr>
        <w:t>核算；超过1000万元、不足5000万元（含）的部分，按</w:t>
      </w:r>
      <w:r>
        <w:rPr>
          <w:rFonts w:hint="eastAsia" w:ascii="仿宋_GB2312" w:hAnsi="仿宋_GB2312" w:cs="仿宋_GB2312"/>
          <w:color w:val="0000FF"/>
          <w:szCs w:val="32"/>
          <w:lang w:val="en-US" w:eastAsia="zh-CN"/>
        </w:rPr>
        <w:t>1.5%</w:t>
      </w:r>
      <w:r>
        <w:rPr>
          <w:rFonts w:hint="eastAsia" w:ascii="仿宋_GB2312" w:hAnsi="仿宋_GB2312" w:cs="仿宋_GB2312"/>
          <w:color w:val="auto"/>
          <w:szCs w:val="32"/>
        </w:rPr>
        <w:t>核算；超过5000万元、不足1亿元（含）的部分，按</w:t>
      </w:r>
      <w:r>
        <w:rPr>
          <w:rFonts w:hint="eastAsia" w:ascii="仿宋_GB2312" w:hAnsi="仿宋_GB2312" w:cs="仿宋_GB2312"/>
          <w:color w:val="0000FF"/>
          <w:szCs w:val="32"/>
          <w:lang w:val="en-US" w:eastAsia="zh-CN"/>
        </w:rPr>
        <w:t>1%</w:t>
      </w:r>
      <w:r>
        <w:rPr>
          <w:rFonts w:hint="eastAsia" w:ascii="仿宋_GB2312" w:hAnsi="仿宋_GB2312" w:cs="仿宋_GB2312"/>
          <w:color w:val="auto"/>
          <w:szCs w:val="32"/>
        </w:rPr>
        <w:t>核算；高于1亿元的部分，按</w:t>
      </w:r>
      <w:r>
        <w:rPr>
          <w:rFonts w:hint="eastAsia" w:ascii="仿宋_GB2312" w:hAnsi="仿宋_GB2312" w:cs="仿宋_GB2312"/>
          <w:color w:val="0000FF"/>
          <w:szCs w:val="32"/>
          <w:lang w:val="en-US" w:eastAsia="zh-CN"/>
        </w:rPr>
        <w:t>0.5%</w:t>
      </w:r>
      <w:r>
        <w:rPr>
          <w:rFonts w:hint="eastAsia" w:ascii="仿宋_GB2312" w:hAnsi="仿宋_GB2312" w:cs="仿宋_GB2312"/>
          <w:color w:val="auto"/>
          <w:szCs w:val="32"/>
        </w:rPr>
        <w:t>核算。年度内单个企业基础奖补金额不超过</w:t>
      </w:r>
      <w:r>
        <w:rPr>
          <w:rFonts w:hint="eastAsia" w:ascii="仿宋_GB2312" w:hAnsi="仿宋_GB2312" w:cs="仿宋_GB2312"/>
          <w:color w:val="0000FF"/>
          <w:szCs w:val="32"/>
          <w:lang w:val="en-US" w:eastAsia="zh-CN"/>
        </w:rPr>
        <w:t>260</w:t>
      </w:r>
      <w:r>
        <w:rPr>
          <w:rFonts w:hint="eastAsia" w:ascii="仿宋_GB2312" w:hAnsi="仿宋_GB2312" w:cs="仿宋_GB2312"/>
          <w:color w:val="0000FF"/>
          <w:szCs w:val="32"/>
        </w:rPr>
        <w:t>万元</w:t>
      </w:r>
      <w:r>
        <w:rPr>
          <w:rFonts w:hint="eastAsia" w:ascii="仿宋_GB2312" w:hAnsi="仿宋_GB2312" w:cs="仿宋_GB2312"/>
          <w:color w:val="auto"/>
          <w:szCs w:val="32"/>
        </w:rPr>
        <w:t>。基础奖补总额超出当年财政奖补资金预算总额的，按相应比例调减奖补标准。</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（二）增量奖补</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在财政奖补专项资金预算总额满足基础奖补总额后，按企业上一年度自主</w:t>
      </w:r>
      <w:r>
        <w:rPr>
          <w:rFonts w:hint="eastAsia" w:ascii="仿宋_GB2312" w:hAnsi="仿宋_GB2312" w:cs="仿宋_GB2312"/>
          <w:color w:val="auto"/>
          <w:spacing w:val="-6"/>
          <w:szCs w:val="32"/>
        </w:rPr>
        <w:t>研发经费增长额的一定比例（</w:t>
      </w:r>
      <w:r>
        <w:rPr>
          <w:rFonts w:hint="eastAsia" w:ascii="仿宋_GB2312" w:hAnsi="仿宋_GB2312" w:cs="仿宋_GB2312"/>
          <w:color w:val="auto"/>
          <w:szCs w:val="32"/>
        </w:rPr>
        <w:t>瞪羚企业</w:t>
      </w:r>
      <w:r>
        <w:rPr>
          <w:rFonts w:hint="eastAsia" w:ascii="仿宋_GB2312" w:hAnsi="仿宋_GB2312" w:cs="仿宋_GB2312"/>
          <w:color w:val="auto"/>
          <w:spacing w:val="-6"/>
          <w:szCs w:val="32"/>
        </w:rPr>
        <w:t>10%</w:t>
      </w:r>
      <w:r>
        <w:rPr>
          <w:rFonts w:hint="eastAsia" w:ascii="仿宋_GB2312" w:hAnsi="仿宋_GB2312" w:cs="仿宋_GB2312"/>
          <w:color w:val="auto"/>
          <w:szCs w:val="32"/>
        </w:rPr>
        <w:t>、高新技术企业5%、科技型中小企业4%、其他企业3%</w:t>
      </w:r>
      <w:r>
        <w:rPr>
          <w:rFonts w:hint="eastAsia" w:ascii="仿宋_GB2312" w:hAnsi="仿宋_GB2312" w:cs="仿宋_GB2312"/>
          <w:color w:val="auto"/>
          <w:spacing w:val="-6"/>
          <w:szCs w:val="32"/>
        </w:rPr>
        <w:t>）再给予增量奖补。</w:t>
      </w:r>
      <w:r>
        <w:rPr>
          <w:rFonts w:hint="eastAsia" w:ascii="仿宋_GB2312" w:hAnsi="仿宋_GB2312" w:cs="仿宋_GB2312"/>
          <w:color w:val="auto"/>
          <w:szCs w:val="32"/>
        </w:rPr>
        <w:t>年度内单个企业增量奖补金额不超过</w:t>
      </w:r>
      <w:r>
        <w:rPr>
          <w:rFonts w:hint="eastAsia" w:ascii="仿宋_GB2312" w:hAnsi="仿宋_GB2312" w:cs="仿宋_GB2312"/>
          <w:color w:val="0000FF"/>
          <w:szCs w:val="32"/>
          <w:lang w:val="en-US" w:eastAsia="zh-CN"/>
        </w:rPr>
        <w:t>150万元</w:t>
      </w:r>
      <w:r>
        <w:rPr>
          <w:rFonts w:hint="eastAsia" w:ascii="仿宋_GB2312" w:hAnsi="仿宋_GB2312" w:cs="仿宋_GB2312"/>
          <w:color w:val="auto"/>
          <w:szCs w:val="32"/>
        </w:rPr>
        <w:t>。若财政奖补专项资金预算总额不足以覆盖</w:t>
      </w:r>
      <w:r>
        <w:rPr>
          <w:rFonts w:hint="eastAsia" w:ascii="仿宋_GB2312" w:hAnsi="仿宋_GB2312" w:cs="仿宋_GB2312"/>
          <w:color w:val="auto"/>
          <w:spacing w:val="-6"/>
          <w:szCs w:val="32"/>
        </w:rPr>
        <w:t>增量奖补比例</w:t>
      </w:r>
      <w:r>
        <w:rPr>
          <w:rFonts w:hint="eastAsia" w:ascii="仿宋_GB2312" w:hAnsi="仿宋_GB2312" w:cs="仿宋_GB2312"/>
          <w:color w:val="auto"/>
          <w:szCs w:val="32"/>
        </w:rPr>
        <w:t>，则根据实际情况按相应比例调减奖补标准。</w:t>
      </w:r>
    </w:p>
    <w:p>
      <w:pPr>
        <w:pStyle w:val="2"/>
        <w:adjustRightInd w:val="0"/>
        <w:snapToGrid w:val="0"/>
        <w:spacing w:line="560" w:lineRule="exact"/>
        <w:ind w:firstLine="645"/>
        <w:rPr>
          <w:rFonts w:hint="eastAsia" w:ascii="仿宋_GB2312" w:hAnsi="仿宋_GB2312" w:cs="仿宋_GB2312"/>
          <w:color w:val="auto"/>
          <w:spacing w:val="-6"/>
          <w:szCs w:val="32"/>
        </w:rPr>
      </w:pPr>
      <w:r>
        <w:rPr>
          <w:rFonts w:hint="eastAsia" w:ascii="仿宋_GB2312" w:hAnsi="仿宋_GB2312" w:cs="仿宋_GB2312"/>
          <w:color w:val="auto"/>
          <w:spacing w:val="-6"/>
          <w:szCs w:val="32"/>
        </w:rPr>
        <w:t>因前一年度未向税务部门进行纳税申报并享受税前加计扣除，造成无对比数据的企业，则不享受增量</w:t>
      </w:r>
      <w:r>
        <w:rPr>
          <w:rFonts w:hint="eastAsia" w:ascii="仿宋_GB2312" w:hAnsi="仿宋_GB2312" w:cs="仿宋_GB2312"/>
          <w:color w:val="auto"/>
          <w:szCs w:val="32"/>
        </w:rPr>
        <w:t>奖补</w:t>
      </w:r>
      <w:r>
        <w:rPr>
          <w:rFonts w:hint="eastAsia" w:ascii="仿宋_GB2312" w:hAnsi="仿宋_GB2312" w:cs="仿宋_GB2312"/>
          <w:color w:val="auto"/>
          <w:spacing w:val="-6"/>
          <w:szCs w:val="32"/>
        </w:rPr>
        <w:t>。</w:t>
      </w:r>
    </w:p>
    <w:p>
      <w:pPr>
        <w:pStyle w:val="2"/>
        <w:adjustRightInd w:val="0"/>
        <w:spacing w:before="156" w:beforeLines="50" w:after="156" w:afterLines="50" w:line="560" w:lineRule="exact"/>
        <w:jc w:val="center"/>
        <w:outlineLvl w:val="0"/>
        <w:rPr>
          <w:rFonts w:hint="eastAsia" w:ascii="黑体" w:hAnsi="黑体" w:eastAsia="黑体" w:cs="Times New Roman"/>
          <w:color w:val="auto"/>
          <w:szCs w:val="32"/>
        </w:rPr>
      </w:pPr>
      <w:r>
        <w:rPr>
          <w:rFonts w:hint="eastAsia" w:ascii="黑体" w:hAnsi="黑体" w:eastAsia="黑体" w:cs="Times New Roman"/>
          <w:color w:val="auto"/>
          <w:szCs w:val="32"/>
        </w:rPr>
        <w:t>第四章 工作程序</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第八条 研发投入奖补工作按企业申请，</w:t>
      </w:r>
      <w:r>
        <w:rPr>
          <w:rFonts w:hint="eastAsia" w:ascii="仿宋_GB2312" w:hAnsi="仿宋_GB2312" w:cs="仿宋_GB2312"/>
          <w:color w:val="auto"/>
          <w:szCs w:val="32"/>
          <w:lang w:val="en-US" w:eastAsia="zh-CN"/>
        </w:rPr>
        <w:t>新区</w:t>
      </w:r>
      <w:r>
        <w:rPr>
          <w:rFonts w:hint="eastAsia" w:ascii="仿宋_GB2312" w:hAnsi="仿宋_GB2312" w:cs="仿宋_GB2312"/>
          <w:color w:val="auto"/>
          <w:szCs w:val="32"/>
        </w:rPr>
        <w:t>科技局、</w:t>
      </w:r>
      <w:r>
        <w:rPr>
          <w:rFonts w:hint="eastAsia" w:ascii="仿宋_GB2312" w:hAnsi="仿宋_GB2312" w:cs="仿宋_GB2312"/>
          <w:color w:val="auto"/>
          <w:szCs w:val="32"/>
          <w:lang w:val="en-US" w:eastAsia="zh-CN"/>
        </w:rPr>
        <w:t>新区经发局</w:t>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新区工信局、新区税务局、</w:t>
      </w:r>
      <w:r>
        <w:rPr>
          <w:rFonts w:hint="eastAsia" w:ascii="仿宋_GB2312" w:hAnsi="仿宋_GB2312" w:cs="仿宋_GB2312"/>
          <w:color w:val="auto"/>
          <w:szCs w:val="32"/>
        </w:rPr>
        <w:t>市财政局</w:t>
      </w:r>
      <w:r>
        <w:rPr>
          <w:rFonts w:hint="eastAsia" w:ascii="仿宋_GB2312" w:hAnsi="仿宋_GB2312" w:cs="仿宋_GB2312"/>
          <w:color w:val="auto"/>
          <w:szCs w:val="32"/>
          <w:lang w:val="en-US" w:eastAsia="zh-CN"/>
        </w:rPr>
        <w:t>五</w:t>
      </w:r>
      <w:r>
        <w:rPr>
          <w:rFonts w:hint="eastAsia" w:ascii="仿宋_GB2312" w:hAnsi="仿宋_GB2312" w:cs="仿宋_GB2312"/>
          <w:color w:val="auto"/>
          <w:szCs w:val="32"/>
        </w:rPr>
        <w:t>部门通过联席会议核定，</w:t>
      </w:r>
      <w:r>
        <w:rPr>
          <w:rFonts w:hint="eastAsia" w:ascii="仿宋_GB2312" w:hAnsi="仿宋_GB2312" w:cs="仿宋_GB2312"/>
          <w:color w:val="auto"/>
          <w:szCs w:val="32"/>
          <w:lang w:val="en-US" w:eastAsia="zh-CN"/>
        </w:rPr>
        <w:t>新区管委会</w:t>
      </w:r>
      <w:r>
        <w:rPr>
          <w:rFonts w:hint="eastAsia" w:ascii="仿宋_GB2312" w:hAnsi="仿宋_GB2312" w:cs="仿宋_GB2312"/>
          <w:color w:val="auto"/>
          <w:szCs w:val="32"/>
        </w:rPr>
        <w:t>审批后</w:t>
      </w:r>
      <w:r>
        <w:rPr>
          <w:rFonts w:hint="eastAsia" w:ascii="仿宋_GB2312" w:hAnsi="仿宋_GB2312" w:cs="仿宋_GB2312"/>
          <w:color w:val="auto"/>
          <w:szCs w:val="32"/>
          <w:lang w:val="en-US" w:eastAsia="zh-CN"/>
        </w:rPr>
        <w:t>由管委会</w:t>
      </w:r>
      <w:r>
        <w:rPr>
          <w:rFonts w:hint="eastAsia" w:ascii="仿宋_GB2312" w:hAnsi="仿宋_GB2312" w:cs="仿宋_GB2312"/>
          <w:color w:val="auto"/>
          <w:szCs w:val="32"/>
        </w:rPr>
        <w:t>下达科技计划的形式实施。具体工作程序如下：</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（一）</w:t>
      </w:r>
      <w:r>
        <w:rPr>
          <w:rFonts w:hint="eastAsia" w:ascii="仿宋_GB2312" w:hAnsi="仿宋_GB2312" w:cs="仿宋_GB2312"/>
          <w:color w:val="auto"/>
          <w:szCs w:val="32"/>
          <w:lang w:val="en-US" w:eastAsia="zh-CN"/>
        </w:rPr>
        <w:t>新区科技局牵头管委会</w:t>
      </w:r>
      <w:r>
        <w:rPr>
          <w:rFonts w:hint="eastAsia" w:ascii="仿宋_GB2312" w:hAnsi="仿宋_GB2312" w:cs="仿宋_GB2312"/>
          <w:color w:val="auto"/>
          <w:szCs w:val="32"/>
        </w:rPr>
        <w:t>发布奖补申报通知；</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（二）企业在所得税年度汇算清缴后，按照申报通知要求提交申请材料；</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（三）</w:t>
      </w:r>
      <w:r>
        <w:rPr>
          <w:rFonts w:hint="eastAsia" w:ascii="仿宋_GB2312" w:hAnsi="仿宋_GB2312" w:cs="仿宋_GB2312"/>
          <w:color w:val="auto"/>
          <w:szCs w:val="32"/>
          <w:lang w:val="en-US" w:eastAsia="zh-CN"/>
        </w:rPr>
        <w:t>新区</w:t>
      </w:r>
      <w:r>
        <w:rPr>
          <w:rFonts w:hint="eastAsia" w:ascii="仿宋_GB2312" w:hAnsi="仿宋_GB2312" w:cs="仿宋_GB2312"/>
          <w:color w:val="auto"/>
          <w:szCs w:val="32"/>
        </w:rPr>
        <w:t>科技局</w:t>
      </w:r>
      <w:r>
        <w:rPr>
          <w:rFonts w:hint="eastAsia" w:ascii="仿宋_GB2312" w:hAnsi="仿宋_GB2312" w:cs="仿宋_GB2312"/>
          <w:color w:val="auto"/>
          <w:szCs w:val="32"/>
          <w:lang w:val="en-US" w:eastAsia="zh-CN"/>
        </w:rPr>
        <w:t>牵头</w:t>
      </w:r>
      <w:r>
        <w:rPr>
          <w:rFonts w:hint="eastAsia" w:ascii="仿宋_GB2312" w:hAnsi="仿宋_GB2312" w:cs="仿宋_GB2312"/>
          <w:color w:val="auto"/>
          <w:szCs w:val="32"/>
        </w:rPr>
        <w:t>（或委托科技服务机构）将企业申请材料对照</w:t>
      </w:r>
      <w:r>
        <w:rPr>
          <w:rFonts w:hint="eastAsia" w:ascii="Times New Roman" w:hAnsi="仿宋" w:eastAsia="仿宋" w:cs="Times New Roman"/>
          <w:color w:val="auto"/>
          <w:szCs w:val="32"/>
          <w:lang w:val="en-US" w:eastAsia="zh-CN"/>
        </w:rPr>
        <w:t>新区</w:t>
      </w:r>
      <w:r>
        <w:rPr>
          <w:rFonts w:hint="eastAsia" w:ascii="Times New Roman" w:hAnsi="仿宋" w:eastAsia="仿宋" w:cs="Times New Roman"/>
          <w:color w:val="auto"/>
          <w:szCs w:val="32"/>
        </w:rPr>
        <w:t>税务局</w:t>
      </w:r>
      <w:r>
        <w:rPr>
          <w:rFonts w:hint="eastAsia" w:ascii="仿宋_GB2312" w:hAnsi="仿宋_GB2312" w:cs="仿宋_GB2312"/>
          <w:bCs/>
          <w:color w:val="auto"/>
          <w:szCs w:val="32"/>
        </w:rPr>
        <w:t>提</w:t>
      </w:r>
      <w:r>
        <w:rPr>
          <w:rFonts w:hint="eastAsia" w:ascii="仿宋_GB2312" w:hAnsi="仿宋" w:cs="微软雅黑"/>
          <w:color w:val="auto"/>
          <w:kern w:val="0"/>
          <w:szCs w:val="32"/>
        </w:rPr>
        <w:t>供的税务征管系统中上一年度享受研发费用税前加计扣除优惠政策的企业名单及对应的研发经费支出数额</w:t>
      </w:r>
      <w:r>
        <w:rPr>
          <w:rFonts w:hint="eastAsia" w:ascii="仿宋_GB2312" w:hAnsi="仿宋_GB2312" w:cs="仿宋_GB2312"/>
          <w:color w:val="auto"/>
          <w:szCs w:val="32"/>
        </w:rPr>
        <w:t>进行审查和汇总，</w:t>
      </w:r>
      <w:r>
        <w:rPr>
          <w:rFonts w:hint="eastAsia" w:ascii="仿宋_GB2312" w:hAnsi="仿宋_GB2312" w:cs="仿宋_GB2312"/>
          <w:color w:val="auto"/>
          <w:szCs w:val="32"/>
          <w:lang w:val="en-US" w:eastAsia="zh-CN"/>
        </w:rPr>
        <w:t>新区</w:t>
      </w:r>
      <w:r>
        <w:rPr>
          <w:rFonts w:hint="eastAsia" w:ascii="仿宋_GB2312" w:hAnsi="仿宋_GB2312" w:cs="仿宋_GB2312"/>
          <w:color w:val="auto"/>
          <w:szCs w:val="32"/>
        </w:rPr>
        <w:t>科技局、</w:t>
      </w:r>
      <w:r>
        <w:rPr>
          <w:rFonts w:hint="eastAsia" w:ascii="仿宋_GB2312" w:hAnsi="仿宋_GB2312" w:cs="仿宋_GB2312"/>
          <w:color w:val="auto"/>
          <w:szCs w:val="32"/>
          <w:lang w:val="en-US" w:eastAsia="zh-CN"/>
        </w:rPr>
        <w:t>新区经发局</w:t>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新区工信局、新区税务局、</w:t>
      </w:r>
      <w:r>
        <w:rPr>
          <w:rFonts w:hint="eastAsia" w:ascii="仿宋_GB2312" w:hAnsi="仿宋_GB2312" w:cs="仿宋_GB2312"/>
          <w:color w:val="auto"/>
          <w:szCs w:val="32"/>
        </w:rPr>
        <w:t>市财政局</w:t>
      </w:r>
      <w:r>
        <w:rPr>
          <w:rFonts w:hint="eastAsia" w:ascii="仿宋_GB2312" w:hAnsi="仿宋_GB2312" w:cs="仿宋_GB2312"/>
          <w:color w:val="auto"/>
          <w:szCs w:val="32"/>
          <w:lang w:val="en-US" w:eastAsia="zh-CN"/>
        </w:rPr>
        <w:t>五</w:t>
      </w:r>
      <w:r>
        <w:rPr>
          <w:rFonts w:hint="eastAsia" w:ascii="仿宋_GB2312" w:hAnsi="仿宋_GB2312" w:cs="仿宋_GB2312"/>
          <w:color w:val="auto"/>
          <w:szCs w:val="32"/>
        </w:rPr>
        <w:t>部门通过联席会议核定拟奖补企业名单和奖补金额，并报</w:t>
      </w:r>
      <w:r>
        <w:rPr>
          <w:rFonts w:hint="eastAsia" w:ascii="仿宋_GB2312" w:hAnsi="仿宋_GB2312" w:cs="仿宋_GB2312"/>
          <w:color w:val="auto"/>
          <w:szCs w:val="32"/>
          <w:lang w:val="en-US" w:eastAsia="zh-CN"/>
        </w:rPr>
        <w:t>管委</w:t>
      </w:r>
      <w:r>
        <w:rPr>
          <w:rFonts w:hint="eastAsia" w:ascii="仿宋_GB2312" w:hAnsi="仿宋_GB2312" w:cs="仿宋_GB2312"/>
          <w:color w:val="auto"/>
          <w:szCs w:val="32"/>
        </w:rPr>
        <w:t>审批；</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（四）</w:t>
      </w:r>
      <w:r>
        <w:rPr>
          <w:rFonts w:hint="eastAsia" w:ascii="仿宋_GB2312" w:hAnsi="仿宋_GB2312" w:cs="仿宋_GB2312"/>
          <w:color w:val="auto"/>
          <w:szCs w:val="32"/>
          <w:lang w:val="en-US" w:eastAsia="zh-CN"/>
        </w:rPr>
        <w:t>管委</w:t>
      </w:r>
      <w:r>
        <w:rPr>
          <w:rFonts w:hint="eastAsia" w:ascii="仿宋_GB2312" w:hAnsi="仿宋_GB2312" w:cs="仿宋_GB2312"/>
          <w:color w:val="auto"/>
          <w:szCs w:val="32"/>
        </w:rPr>
        <w:t>审批通过后</w:t>
      </w:r>
      <w:r>
        <w:rPr>
          <w:rFonts w:hint="eastAsia" w:ascii="仿宋_GB2312" w:hAnsi="仿宋_GB2312" w:cs="仿宋_GB2312"/>
          <w:color w:val="auto"/>
          <w:szCs w:val="32"/>
          <w:lang w:eastAsia="zh-CN"/>
        </w:rPr>
        <w:t>，</w:t>
      </w:r>
      <w:r>
        <w:rPr>
          <w:rFonts w:hint="eastAsia" w:ascii="仿宋_GB2312" w:hAnsi="仿宋_GB2312" w:cs="仿宋_GB2312"/>
          <w:color w:val="auto"/>
          <w:szCs w:val="32"/>
        </w:rPr>
        <w:t>按照相关程序下达</w:t>
      </w:r>
      <w:r>
        <w:rPr>
          <w:rFonts w:hint="eastAsia" w:ascii="仿宋_GB2312" w:hAnsi="仿宋_GB2312" w:cs="仿宋_GB2312"/>
          <w:color w:val="auto"/>
          <w:szCs w:val="32"/>
          <w:lang w:val="en-US" w:eastAsia="zh-CN"/>
        </w:rPr>
        <w:t>柳东新区</w:t>
      </w:r>
      <w:r>
        <w:rPr>
          <w:rFonts w:hint="eastAsia" w:ascii="仿宋_GB2312" w:hAnsi="仿宋_GB2312" w:cs="仿宋_GB2312"/>
          <w:color w:val="auto"/>
          <w:szCs w:val="32"/>
        </w:rPr>
        <w:t>科技计划；</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（五）</w:t>
      </w:r>
      <w:r>
        <w:rPr>
          <w:rFonts w:hint="eastAsia" w:ascii="仿宋_GB2312" w:hAnsi="仿宋_GB2312" w:cs="仿宋_GB2312"/>
          <w:color w:val="auto"/>
          <w:szCs w:val="32"/>
          <w:lang w:val="en-US" w:eastAsia="zh-CN"/>
        </w:rPr>
        <w:t>新区</w:t>
      </w:r>
      <w:r>
        <w:rPr>
          <w:rFonts w:hint="eastAsia" w:ascii="仿宋_GB2312" w:hAnsi="仿宋_GB2312" w:cs="仿宋_GB2312"/>
          <w:color w:val="auto"/>
          <w:szCs w:val="32"/>
        </w:rPr>
        <w:t>科技局和财政局根据</w:t>
      </w:r>
      <w:r>
        <w:rPr>
          <w:rFonts w:hint="eastAsia" w:ascii="仿宋_GB2312" w:hAnsi="仿宋_GB2312" w:cs="仿宋_GB2312"/>
          <w:color w:val="auto"/>
          <w:szCs w:val="32"/>
          <w:lang w:val="en-US" w:eastAsia="zh-CN"/>
        </w:rPr>
        <w:t>柳东新区</w:t>
      </w:r>
      <w:r>
        <w:rPr>
          <w:rFonts w:hint="eastAsia" w:ascii="仿宋_GB2312" w:hAnsi="仿宋_GB2312" w:cs="仿宋_GB2312"/>
          <w:color w:val="auto"/>
          <w:szCs w:val="32"/>
        </w:rPr>
        <w:t>科技计划文件拨付奖补资金。</w:t>
      </w:r>
    </w:p>
    <w:p>
      <w:pPr>
        <w:pStyle w:val="2"/>
        <w:adjustRightInd w:val="0"/>
        <w:spacing w:before="156" w:beforeLines="50" w:after="156" w:afterLines="50" w:line="560" w:lineRule="exact"/>
        <w:jc w:val="center"/>
        <w:outlineLvl w:val="0"/>
        <w:rPr>
          <w:rFonts w:hint="eastAsia" w:ascii="黑体" w:hAnsi="黑体" w:eastAsia="黑体" w:cs="Times New Roman"/>
          <w:color w:val="auto"/>
          <w:szCs w:val="32"/>
        </w:rPr>
      </w:pPr>
      <w:r>
        <w:rPr>
          <w:rFonts w:hint="eastAsia" w:ascii="黑体" w:hAnsi="黑体" w:eastAsia="黑体" w:cs="Times New Roman"/>
          <w:color w:val="auto"/>
          <w:szCs w:val="32"/>
        </w:rPr>
        <w:t>第五章 实施管理职责</w:t>
      </w:r>
    </w:p>
    <w:p>
      <w:pPr>
        <w:pStyle w:val="2"/>
        <w:adjustRightInd w:val="0"/>
        <w:snapToGrid w:val="0"/>
        <w:spacing w:line="560" w:lineRule="exact"/>
        <w:ind w:firstLine="645"/>
        <w:rPr>
          <w:rFonts w:hint="eastAsia" w:ascii="仿宋_GB2312" w:hAnsi="仿宋_GB2312" w:cs="仿宋_GB2312"/>
          <w:bCs/>
          <w:color w:val="auto"/>
          <w:szCs w:val="32"/>
        </w:rPr>
      </w:pPr>
      <w:r>
        <w:rPr>
          <w:rFonts w:hint="eastAsia" w:ascii="仿宋_GB2312" w:hAnsi="仿宋_GB2312" w:cs="仿宋_GB2312"/>
          <w:bCs/>
          <w:color w:val="auto"/>
          <w:szCs w:val="32"/>
        </w:rPr>
        <w:t>第九条</w:t>
      </w:r>
      <w:r>
        <w:rPr>
          <w:rFonts w:hint="eastAsia" w:ascii="仿宋_GB2312" w:hAnsi="仿宋_GB2312" w:cs="仿宋_GB2312"/>
          <w:color w:val="auto"/>
          <w:szCs w:val="32"/>
        </w:rPr>
        <w:t xml:space="preserve"> </w:t>
      </w:r>
      <w:r>
        <w:rPr>
          <w:rFonts w:hint="eastAsia" w:ascii="仿宋_GB2312" w:hAnsi="仿宋_GB2312" w:cs="仿宋_GB2312"/>
          <w:bCs/>
          <w:color w:val="auto"/>
          <w:szCs w:val="32"/>
          <w:lang w:val="en-US" w:eastAsia="zh-CN"/>
        </w:rPr>
        <w:t>新区</w:t>
      </w:r>
      <w:r>
        <w:rPr>
          <w:rFonts w:hint="eastAsia" w:ascii="仿宋_GB2312" w:hAnsi="仿宋_GB2312" w:cs="仿宋_GB2312"/>
          <w:bCs/>
          <w:color w:val="auto"/>
          <w:szCs w:val="32"/>
        </w:rPr>
        <w:t>科技局负责提出年度奖补专项资金预算申请；牵头组织申报、会审、信息公开等工作；督促企业按本办法规定使用奖补资金；负责相关系统平台建设、管理及信息共享等。</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 xml:space="preserve">第十条 </w:t>
      </w:r>
      <w:r>
        <w:rPr>
          <w:rFonts w:hint="eastAsia" w:ascii="仿宋_GB2312" w:hAnsi="仿宋_GB2312" w:cs="仿宋_GB2312"/>
          <w:color w:val="auto"/>
          <w:szCs w:val="32"/>
          <w:lang w:val="en-US" w:eastAsia="zh-CN"/>
        </w:rPr>
        <w:t>新区</w:t>
      </w:r>
      <w:r>
        <w:rPr>
          <w:rFonts w:hint="eastAsia" w:ascii="仿宋_GB2312" w:hAnsi="仿宋_GB2312" w:cs="仿宋_GB2312"/>
          <w:color w:val="auto"/>
          <w:szCs w:val="32"/>
        </w:rPr>
        <w:t>财政局负责核定年度</w:t>
      </w:r>
      <w:r>
        <w:rPr>
          <w:rFonts w:hint="eastAsia" w:ascii="仿宋_GB2312" w:hAnsi="仿宋_GB2312" w:cs="仿宋_GB2312"/>
          <w:bCs/>
          <w:color w:val="auto"/>
          <w:szCs w:val="32"/>
        </w:rPr>
        <w:t>奖补专项资金预算</w:t>
      </w:r>
      <w:r>
        <w:rPr>
          <w:rFonts w:hint="eastAsia" w:ascii="仿宋_GB2312" w:hAnsi="仿宋_GB2312" w:cs="仿宋_GB2312"/>
          <w:color w:val="auto"/>
          <w:szCs w:val="32"/>
        </w:rPr>
        <w:t>，参与会审，拨付奖补资金，组织财政监督检查和总体绩效评价。</w:t>
      </w:r>
    </w:p>
    <w:p>
      <w:pPr>
        <w:snapToGrid w:val="0"/>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第十一条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新区经发局、工信局</w:t>
      </w:r>
      <w:r>
        <w:rPr>
          <w:rFonts w:hint="eastAsia" w:ascii="仿宋_GB2312" w:hAnsi="仿宋_GB2312" w:eastAsia="仿宋_GB2312" w:cs="仿宋_GB2312"/>
          <w:bCs/>
          <w:color w:val="auto"/>
          <w:sz w:val="32"/>
          <w:szCs w:val="32"/>
        </w:rPr>
        <w:t>参与会审。</w:t>
      </w:r>
    </w:p>
    <w:p>
      <w:pPr>
        <w:pStyle w:val="2"/>
        <w:adjustRightInd w:val="0"/>
        <w:snapToGrid w:val="0"/>
        <w:spacing w:line="560" w:lineRule="exact"/>
        <w:ind w:firstLine="645"/>
        <w:rPr>
          <w:rFonts w:hint="eastAsia" w:ascii="仿宋_GB2312" w:hAnsi="仿宋_GB2312" w:cs="仿宋_GB2312"/>
          <w:bCs/>
          <w:color w:val="auto"/>
          <w:szCs w:val="32"/>
        </w:rPr>
      </w:pPr>
      <w:r>
        <w:rPr>
          <w:rFonts w:hint="eastAsia" w:ascii="仿宋_GB2312" w:hAnsi="仿宋_GB2312" w:cs="仿宋_GB2312"/>
          <w:bCs/>
          <w:color w:val="auto"/>
          <w:szCs w:val="32"/>
        </w:rPr>
        <w:t xml:space="preserve">第十二条 </w:t>
      </w:r>
      <w:r>
        <w:rPr>
          <w:rFonts w:hint="eastAsia" w:ascii="仿宋_GB2312" w:hAnsi="仿宋" w:cs="微软雅黑"/>
          <w:color w:val="auto"/>
          <w:kern w:val="0"/>
          <w:szCs w:val="32"/>
          <w:lang w:val="en-US" w:eastAsia="zh-CN"/>
        </w:rPr>
        <w:t>新区</w:t>
      </w:r>
      <w:r>
        <w:rPr>
          <w:rFonts w:hint="eastAsia" w:ascii="仿宋_GB2312" w:hAnsi="仿宋" w:cs="微软雅黑"/>
          <w:color w:val="auto"/>
          <w:kern w:val="0"/>
          <w:szCs w:val="32"/>
        </w:rPr>
        <w:t>税务局负责提供税务征管系统中上一年度享受研发费用税前加计扣除优惠政策的企业名单及对应的研发经费支出数额</w:t>
      </w:r>
      <w:r>
        <w:rPr>
          <w:rFonts w:hint="eastAsia" w:ascii="仿宋_GB2312" w:hAnsi="仿宋" w:cs="微软雅黑"/>
          <w:color w:val="auto"/>
          <w:kern w:val="0"/>
          <w:szCs w:val="32"/>
          <w:lang w:val="en-US" w:eastAsia="zh-CN"/>
        </w:rPr>
        <w:t>并</w:t>
      </w:r>
      <w:r>
        <w:rPr>
          <w:rFonts w:hint="eastAsia" w:ascii="仿宋_GB2312" w:hAnsi="仿宋_GB2312" w:eastAsia="仿宋_GB2312" w:cs="仿宋_GB2312"/>
          <w:bCs/>
          <w:color w:val="auto"/>
          <w:sz w:val="32"/>
          <w:szCs w:val="32"/>
        </w:rPr>
        <w:t>参与会审</w:t>
      </w:r>
      <w:r>
        <w:rPr>
          <w:rFonts w:hint="eastAsia" w:ascii="仿宋_GB2312" w:hAnsi="仿宋" w:cs="微软雅黑"/>
          <w:color w:val="auto"/>
          <w:kern w:val="0"/>
          <w:szCs w:val="32"/>
        </w:rPr>
        <w:t>。</w:t>
      </w:r>
    </w:p>
    <w:p>
      <w:pPr>
        <w:snapToGrid w:val="0"/>
        <w:spacing w:line="56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第十三条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bCs/>
          <w:color w:val="auto"/>
          <w:sz w:val="32"/>
          <w:szCs w:val="32"/>
        </w:rPr>
        <w:t>企业应切实履行法人主体责任和科研诚信，建立健全内部研发经费管理和使用制度，严格执行财务规章制度和会计核算办法，做好研发活动台账管理</w:t>
      </w:r>
      <w:r>
        <w:rPr>
          <w:rFonts w:hint="eastAsia" w:ascii="仿宋_GB2312" w:hAnsi="仿宋_GB2312" w:eastAsia="仿宋_GB2312" w:cs="仿宋_GB2312"/>
          <w:color w:val="auto"/>
          <w:sz w:val="32"/>
          <w:szCs w:val="32"/>
        </w:rPr>
        <w:t>。</w:t>
      </w:r>
    </w:p>
    <w:p>
      <w:pPr>
        <w:pStyle w:val="2"/>
        <w:adjustRightInd w:val="0"/>
        <w:spacing w:before="156" w:beforeLines="50" w:after="156" w:afterLines="50" w:line="560" w:lineRule="exact"/>
        <w:jc w:val="center"/>
        <w:outlineLvl w:val="0"/>
        <w:rPr>
          <w:rFonts w:hint="eastAsia" w:ascii="黑体" w:hAnsi="黑体" w:eastAsia="黑体" w:cs="Times New Roman"/>
          <w:color w:val="auto"/>
          <w:szCs w:val="32"/>
        </w:rPr>
      </w:pPr>
      <w:r>
        <w:rPr>
          <w:rFonts w:hint="eastAsia" w:ascii="黑体" w:hAnsi="黑体" w:eastAsia="黑体" w:cs="Times New Roman"/>
          <w:color w:val="auto"/>
          <w:szCs w:val="32"/>
        </w:rPr>
        <w:t>第六章 附则</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第十四条 本办法自2019年 月  日开始实施。</w:t>
      </w:r>
    </w:p>
    <w:p>
      <w:pPr>
        <w:pStyle w:val="2"/>
        <w:adjustRightInd w:val="0"/>
        <w:snapToGrid w:val="0"/>
        <w:spacing w:line="560" w:lineRule="exact"/>
        <w:ind w:firstLine="645"/>
        <w:rPr>
          <w:rFonts w:hint="eastAsia" w:ascii="仿宋_GB2312" w:hAnsi="仿宋_GB2312" w:cs="仿宋_GB2312"/>
          <w:color w:val="auto"/>
          <w:szCs w:val="32"/>
        </w:rPr>
      </w:pPr>
      <w:r>
        <w:rPr>
          <w:rFonts w:hint="eastAsia" w:ascii="仿宋_GB2312" w:hAnsi="仿宋_GB2312" w:cs="仿宋_GB2312"/>
          <w:color w:val="auto"/>
          <w:szCs w:val="32"/>
        </w:rPr>
        <w:t>第十五条 本办法由</w:t>
      </w:r>
      <w:r>
        <w:rPr>
          <w:rFonts w:hint="eastAsia" w:ascii="仿宋_GB2312" w:hAnsi="仿宋_GB2312" w:cs="仿宋_GB2312"/>
          <w:color w:val="auto"/>
          <w:szCs w:val="32"/>
          <w:lang w:val="en-US" w:eastAsia="zh-CN"/>
        </w:rPr>
        <w:t>新区</w:t>
      </w:r>
      <w:r>
        <w:rPr>
          <w:rFonts w:hint="eastAsia" w:ascii="仿宋_GB2312" w:hAnsi="仿宋_GB2312" w:cs="仿宋_GB2312"/>
          <w:color w:val="auto"/>
          <w:szCs w:val="32"/>
        </w:rPr>
        <w:t>科技局负责解释。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350F2"/>
    <w:rsid w:val="3CB350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仿宋_GB2312" w:cs="Courier New"/>
      <w:sz w:val="32"/>
      <w:szCs w:val="21"/>
      <w:lang w:bidi="ar-SA"/>
    </w:rPr>
  </w:style>
  <w:style w:type="character" w:styleId="5">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2019-09-24T01:32:00Z</dcterms:created>
  <dc:creator>谈浩</dc:creator>
  <cp:lastModifiedBy>谈浩</cp:lastModifiedBy>
  <dcterms:modified xsi:type="dcterms:W3CDTF">2019-09-24T01:34:51Z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